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D8" w:rsidRDefault="00B708D8">
      <w:bookmarkStart w:id="0" w:name="_GoBack"/>
      <w:bookmarkEnd w:id="0"/>
    </w:p>
    <w:p w:rsidR="00B708D8" w:rsidRPr="00421BED" w:rsidRDefault="00B708D8" w:rsidP="00B708D8">
      <w:pPr>
        <w:autoSpaceDE w:val="0"/>
        <w:autoSpaceDN w:val="0"/>
        <w:adjustRightInd w:val="0"/>
        <w:spacing w:after="0" w:line="240" w:lineRule="auto"/>
        <w:outlineLvl w:val="2"/>
        <w:rPr>
          <w:rFonts w:ascii="BFJJBO+TimesNewRoman,Italic" w:hAnsi="BFJJBO+TimesNewRoman,Italic" w:cs="BFJJBO+TimesNewRoman,Italic"/>
          <w:color w:val="000000"/>
          <w:sz w:val="23"/>
          <w:szCs w:val="23"/>
        </w:rPr>
      </w:pPr>
      <w:r w:rsidRPr="00B708D8">
        <w:rPr>
          <w:rFonts w:ascii="BFJLOI+TimesNewRoman,BoldItalic" w:hAnsi="BFJLOI+TimesNewRoman,BoldItalic" w:cs="BFJLOI+TimesNewRoman,BoldItalic"/>
          <w:b/>
          <w:bCs/>
          <w:color w:val="000000"/>
          <w:sz w:val="23"/>
          <w:szCs w:val="23"/>
        </w:rPr>
        <w:t>COMPETENCY 2: Foundations of Research-Based Practices</w:t>
      </w:r>
      <w:r>
        <w:rPr>
          <w:rFonts w:ascii="BFJLOI+TimesNewRoman,BoldItalic" w:hAnsi="BFJLOI+TimesNewRoman,BoldItalic" w:cs="BFJLOI+TimesNewRoman,BoldItalic"/>
          <w:b/>
          <w:bCs/>
          <w:color w:val="000000"/>
          <w:sz w:val="23"/>
          <w:szCs w:val="23"/>
        </w:rPr>
        <w:t>. The Candidate u</w:t>
      </w:r>
      <w:r w:rsidRPr="00B708D8">
        <w:rPr>
          <w:rFonts w:ascii="BFJHMF+TimesNewRoman,Bold" w:hAnsi="BFJHMF+TimesNewRoman,Bold" w:cs="BFJHMF+TimesNewRoman,Bold"/>
          <w:b/>
          <w:bCs/>
          <w:color w:val="000000"/>
          <w:sz w:val="23"/>
          <w:szCs w:val="23"/>
        </w:rPr>
        <w:t>nderstands the principles of scientifically based reading research as the foundation of comprehensive instruction that synchronizes and scaffolds each of the major components of the reading process toward student mastery</w:t>
      </w:r>
      <w:r>
        <w:rPr>
          <w:rFonts w:ascii="BFJHMF+TimesNewRoman,Bold" w:hAnsi="BFJHMF+TimesNewRoman,Bold" w:cs="BFJHMF+TimesNewRoman,Bold"/>
          <w:b/>
          <w:bCs/>
          <w:color w:val="000000"/>
          <w:sz w:val="23"/>
          <w:szCs w:val="23"/>
        </w:rPr>
        <w:t xml:space="preserve">. </w:t>
      </w:r>
      <w:r w:rsidRPr="00421BED">
        <w:rPr>
          <w:rFonts w:ascii="BFJJBO+TimesNewRoman,Italic" w:hAnsi="BFJJBO+TimesNewRoman,Italic" w:cs="BFJJBO+TimesNewRoman,Italic"/>
          <w:color w:val="000000"/>
          <w:sz w:val="23"/>
          <w:szCs w:val="23"/>
        </w:rPr>
        <w:t xml:space="preserve">The total inventory of Specific Indicators (A-F) satisfy Competency 2 </w:t>
      </w:r>
    </w:p>
    <w:p w:rsidR="00B708D8" w:rsidRDefault="00B708D8" w:rsidP="00B708D8">
      <w:pPr>
        <w:autoSpaceDE w:val="0"/>
        <w:autoSpaceDN w:val="0"/>
        <w:adjustRightInd w:val="0"/>
        <w:spacing w:after="0" w:line="240" w:lineRule="auto"/>
        <w:outlineLvl w:val="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3240"/>
        <w:gridCol w:w="990"/>
        <w:gridCol w:w="1440"/>
        <w:gridCol w:w="7123"/>
      </w:tblGrid>
      <w:tr w:rsidR="00B708D8" w:rsidRPr="009D1B1F" w:rsidTr="006E4E48">
        <w:trPr>
          <w:trHeight w:val="593"/>
        </w:trPr>
        <w:tc>
          <w:tcPr>
            <w:tcW w:w="1583" w:type="dxa"/>
          </w:tcPr>
          <w:p w:rsidR="00B708D8" w:rsidRPr="009D1B1F" w:rsidRDefault="00B708D8" w:rsidP="009D1B1F">
            <w:pPr>
              <w:spacing w:after="0" w:line="240" w:lineRule="auto"/>
            </w:pPr>
            <w:r w:rsidRPr="009D1B1F">
              <w:t>Course Name and Number</w:t>
            </w:r>
          </w:p>
        </w:tc>
        <w:tc>
          <w:tcPr>
            <w:tcW w:w="3240" w:type="dxa"/>
          </w:tcPr>
          <w:p w:rsidR="00B708D8" w:rsidRPr="009D1B1F" w:rsidRDefault="00B708D8" w:rsidP="00C24523">
            <w:pPr>
              <w:spacing w:after="0" w:line="240" w:lineRule="auto"/>
            </w:pPr>
            <w:r>
              <w:t>Indicator</w:t>
            </w:r>
          </w:p>
        </w:tc>
        <w:tc>
          <w:tcPr>
            <w:tcW w:w="990" w:type="dxa"/>
          </w:tcPr>
          <w:p w:rsidR="00B708D8" w:rsidRPr="009D1B1F" w:rsidRDefault="00B708D8" w:rsidP="009D1B1F">
            <w:pPr>
              <w:spacing w:after="0" w:line="240" w:lineRule="auto"/>
            </w:pPr>
            <w:r w:rsidRPr="009D1B1F">
              <w:t>ID</w:t>
            </w:r>
          </w:p>
        </w:tc>
        <w:tc>
          <w:tcPr>
            <w:tcW w:w="1440" w:type="dxa"/>
          </w:tcPr>
          <w:p w:rsidR="00B708D8" w:rsidRPr="009D1B1F" w:rsidRDefault="00B708D8" w:rsidP="009D1B1F">
            <w:pPr>
              <w:spacing w:after="0" w:line="240" w:lineRule="auto"/>
            </w:pPr>
            <w:r w:rsidRPr="009D1B1F">
              <w:t>Task Name</w:t>
            </w:r>
          </w:p>
        </w:tc>
        <w:tc>
          <w:tcPr>
            <w:tcW w:w="7123" w:type="dxa"/>
          </w:tcPr>
          <w:p w:rsidR="00B708D8" w:rsidRPr="009D1B1F" w:rsidRDefault="00B708D8" w:rsidP="009D1B1F">
            <w:pPr>
              <w:spacing w:after="0" w:line="240" w:lineRule="auto"/>
            </w:pPr>
            <w:r>
              <w:t>Description of task</w:t>
            </w:r>
          </w:p>
        </w:tc>
      </w:tr>
      <w:tr w:rsidR="00AC50DD" w:rsidRPr="00AC50DD" w:rsidTr="006E4E48">
        <w:tc>
          <w:tcPr>
            <w:tcW w:w="1583" w:type="dxa"/>
          </w:tcPr>
          <w:p w:rsidR="00B708D8" w:rsidRDefault="00611C45" w:rsidP="009D1B1F">
            <w:pPr>
              <w:spacing w:after="0" w:line="240" w:lineRule="auto"/>
            </w:pPr>
            <w:r>
              <w:t xml:space="preserve">RED </w:t>
            </w:r>
            <w:r w:rsidR="00AA5739">
              <w:t>5147 L</w:t>
            </w:r>
          </w:p>
          <w:p w:rsidR="006E4E48" w:rsidRDefault="006E4E48" w:rsidP="009D1B1F">
            <w:pPr>
              <w:spacing w:after="0" w:line="240" w:lineRule="auto"/>
            </w:pPr>
            <w:r>
              <w:t xml:space="preserve">Developmental </w:t>
            </w:r>
          </w:p>
          <w:p w:rsidR="006E4E48" w:rsidRPr="009D1B1F" w:rsidRDefault="006E4E48" w:rsidP="009D1B1F">
            <w:pPr>
              <w:spacing w:after="0" w:line="240" w:lineRule="auto"/>
            </w:pPr>
            <w:r>
              <w:t>Reading</w:t>
            </w:r>
          </w:p>
        </w:tc>
        <w:tc>
          <w:tcPr>
            <w:tcW w:w="3240" w:type="dxa"/>
          </w:tcPr>
          <w:p w:rsidR="00B708D8" w:rsidRPr="00421BED" w:rsidRDefault="00B708D8" w:rsidP="00B708D8">
            <w:pPr>
              <w:autoSpaceDE w:val="0"/>
              <w:autoSpaceDN w:val="0"/>
              <w:adjustRightInd w:val="0"/>
              <w:spacing w:after="0" w:line="240" w:lineRule="auto"/>
              <w:outlineLvl w:val="2"/>
              <w:rPr>
                <w:rFonts w:ascii="BFJHMF+TimesNewRoman,Bold" w:hAnsi="BFJHMF+TimesNewRoman,Bold" w:cs="BFJHMF+TimesNewRoman,Bold"/>
                <w:color w:val="000000"/>
                <w:sz w:val="23"/>
                <w:szCs w:val="23"/>
              </w:rPr>
            </w:pPr>
            <w:r w:rsidRPr="00421BED">
              <w:rPr>
                <w:rFonts w:ascii="BFJHMF+TimesNewRoman,Bold" w:hAnsi="BFJHMF+TimesNewRoman,Bold" w:cs="BFJHMF+TimesNewRoman,Bold"/>
                <w:b/>
                <w:bCs/>
                <w:color w:val="000000"/>
                <w:sz w:val="23"/>
                <w:szCs w:val="23"/>
              </w:rPr>
              <w:t xml:space="preserve">A: Phonemic Awareness </w:t>
            </w:r>
          </w:p>
          <w:p w:rsidR="00B708D8" w:rsidRPr="009D1B1F" w:rsidRDefault="00B708D8" w:rsidP="00073594">
            <w:pPr>
              <w:autoSpaceDE w:val="0"/>
              <w:autoSpaceDN w:val="0"/>
              <w:adjustRightInd w:val="0"/>
              <w:spacing w:after="0" w:line="240" w:lineRule="auto"/>
            </w:pPr>
            <w:r w:rsidRPr="00421BED">
              <w:rPr>
                <w:rFonts w:ascii="BFJIGH+TimesNewRoman" w:hAnsi="BFJIGH+TimesNewRoman" w:cs="BFJIGH+TimesNewRoman"/>
                <w:color w:val="000000"/>
              </w:rPr>
              <w:t>Identify explicit, systematic instructional plans for scaffolding development of phonemic analysis of the sounds of words (e.g., phonemic blending, segmentation, etc.)</w:t>
            </w:r>
          </w:p>
        </w:tc>
        <w:tc>
          <w:tcPr>
            <w:tcW w:w="990" w:type="dxa"/>
          </w:tcPr>
          <w:p w:rsidR="00B708D8" w:rsidRPr="009D1B1F" w:rsidRDefault="00B708D8" w:rsidP="009D1B1F">
            <w:pPr>
              <w:spacing w:after="0" w:line="240" w:lineRule="auto"/>
            </w:pPr>
          </w:p>
        </w:tc>
        <w:tc>
          <w:tcPr>
            <w:tcW w:w="1440" w:type="dxa"/>
          </w:tcPr>
          <w:p w:rsidR="00B708D8" w:rsidRPr="009D1B1F" w:rsidRDefault="00611C45" w:rsidP="009D1B1F">
            <w:pPr>
              <w:spacing w:after="0" w:line="240" w:lineRule="auto"/>
            </w:pPr>
            <w:r>
              <w:rPr>
                <w:rFonts w:ascii="Arial" w:hAnsi="Arial" w:cs="Arial"/>
              </w:rPr>
              <w:t>Literacy Log</w:t>
            </w:r>
          </w:p>
        </w:tc>
        <w:tc>
          <w:tcPr>
            <w:tcW w:w="7123" w:type="dxa"/>
          </w:tcPr>
          <w:p w:rsidR="00611C45" w:rsidRPr="00AC50DD" w:rsidRDefault="00611C45" w:rsidP="00611C45">
            <w:pPr>
              <w:pStyle w:val="NormalWeb"/>
              <w:spacing w:before="0" w:beforeAutospacing="0" w:after="0" w:afterAutospacing="0"/>
            </w:pPr>
            <w:r w:rsidRPr="00AC50DD">
              <w:rPr>
                <w:rFonts w:ascii="Arial" w:hAnsi="Arial" w:cs="Arial"/>
                <w:color w:val="FF0000"/>
              </w:rPr>
              <w:t xml:space="preserve"> </w:t>
            </w:r>
            <w:r w:rsidRPr="00AC50DD">
              <w:rPr>
                <w:rFonts w:ascii="Arial" w:hAnsi="Arial" w:cs="Arial"/>
              </w:rPr>
              <w:t xml:space="preserve">As students implement selected strategies described in the course or in the web links provided, students will select the strategies that best serve theirs and their students’ needs. Students will use these strategies and begin to implement them in the classroom and share with other faculty members at their school/class.   They will describe how they will adapt teaching strategies to meet their students’ needs (e.g., ESOL students, struggling readers) and the evidence they will use to assess its effectiveness. </w:t>
            </w:r>
          </w:p>
          <w:p w:rsidR="00B708D8" w:rsidRPr="00AC50DD" w:rsidRDefault="00B708D8" w:rsidP="009D1B1F">
            <w:pPr>
              <w:spacing w:after="0" w:line="240" w:lineRule="auto"/>
              <w:rPr>
                <w:color w:val="FF0000"/>
              </w:rPr>
            </w:pPr>
          </w:p>
        </w:tc>
      </w:tr>
      <w:tr w:rsidR="00AA5739" w:rsidRPr="009D1B1F" w:rsidTr="006E4E48">
        <w:tc>
          <w:tcPr>
            <w:tcW w:w="1583" w:type="dxa"/>
          </w:tcPr>
          <w:p w:rsidR="006E4E48" w:rsidRDefault="006E4E48" w:rsidP="006E4E48">
            <w:pPr>
              <w:spacing w:after="0" w:line="240" w:lineRule="auto"/>
            </w:pPr>
            <w:r>
              <w:t>RED 5147 L</w:t>
            </w:r>
          </w:p>
          <w:p w:rsidR="006E4E48" w:rsidRDefault="006E4E48" w:rsidP="006E4E48">
            <w:pPr>
              <w:spacing w:after="0" w:line="240" w:lineRule="auto"/>
            </w:pPr>
            <w:r>
              <w:t xml:space="preserve">Developmental </w:t>
            </w:r>
          </w:p>
          <w:p w:rsidR="00AA5739" w:rsidRPr="009D1B1F" w:rsidRDefault="006E4E48" w:rsidP="006E4E48">
            <w:pPr>
              <w:spacing w:after="0" w:line="240" w:lineRule="auto"/>
            </w:pPr>
            <w:r>
              <w:t>Reading</w:t>
            </w:r>
          </w:p>
        </w:tc>
        <w:tc>
          <w:tcPr>
            <w:tcW w:w="3240" w:type="dxa"/>
          </w:tcPr>
          <w:p w:rsidR="00AA5739" w:rsidRPr="00421BED" w:rsidRDefault="00AA5739" w:rsidP="00AA5739">
            <w:pPr>
              <w:autoSpaceDE w:val="0"/>
              <w:autoSpaceDN w:val="0"/>
              <w:adjustRightInd w:val="0"/>
              <w:spacing w:after="0" w:line="240" w:lineRule="auto"/>
              <w:outlineLvl w:val="2"/>
              <w:rPr>
                <w:rFonts w:ascii="BFJHMF+TimesNewRoman,Bold" w:hAnsi="BFJHMF+TimesNewRoman,Bold" w:cs="BFJHMF+TimesNewRoman,Bold"/>
                <w:color w:val="000000"/>
                <w:sz w:val="23"/>
                <w:szCs w:val="23"/>
              </w:rPr>
            </w:pPr>
            <w:r w:rsidRPr="00421BED">
              <w:rPr>
                <w:rFonts w:ascii="BFJHMF+TimesNewRoman,Bold" w:hAnsi="BFJHMF+TimesNewRoman,Bold" w:cs="BFJHMF+TimesNewRoman,Bold"/>
                <w:b/>
                <w:bCs/>
                <w:color w:val="000000"/>
                <w:sz w:val="23"/>
                <w:szCs w:val="23"/>
              </w:rPr>
              <w:t>B: Phonics</w:t>
            </w:r>
            <w:r>
              <w:rPr>
                <w:rFonts w:ascii="BFJHMF+TimesNewRoman,Bold" w:hAnsi="BFJHMF+TimesNewRoman,Bold" w:cs="BFJHMF+TimesNewRoman,Bold"/>
                <w:b/>
                <w:bCs/>
                <w:color w:val="000000"/>
                <w:sz w:val="23"/>
                <w:szCs w:val="23"/>
              </w:rPr>
              <w:t>:</w:t>
            </w:r>
            <w:r w:rsidRPr="00421BED">
              <w:rPr>
                <w:rFonts w:ascii="BFJHMF+TimesNewRoman,Bold" w:hAnsi="BFJHMF+TimesNewRoman,Bold" w:cs="BFJHMF+TimesNewRoman,Bold"/>
                <w:color w:val="000000"/>
              </w:rPr>
              <w:t xml:space="preserve"> </w:t>
            </w:r>
            <w:r w:rsidRPr="00421BED">
              <w:rPr>
                <w:rFonts w:ascii="BFJIGH+TimesNewRoman" w:hAnsi="BFJIGH+TimesNewRoman" w:cs="BFJIGH+TimesNewRoman"/>
                <w:color w:val="000000"/>
              </w:rPr>
              <w:t xml:space="preserve">Identify explicit, systematic instructional plans for scaffolding development from emergent through advanced phonics with words from both informal and academic language (e.g., orthographic skills, phonetic and structural analysis: rules, patterns, and generalizations) </w:t>
            </w:r>
          </w:p>
          <w:p w:rsidR="00AA5739" w:rsidRPr="009D1B1F" w:rsidRDefault="00AA5739" w:rsidP="009D1B1F">
            <w:pPr>
              <w:spacing w:after="0" w:line="240" w:lineRule="auto"/>
            </w:pPr>
          </w:p>
        </w:tc>
        <w:tc>
          <w:tcPr>
            <w:tcW w:w="990" w:type="dxa"/>
          </w:tcPr>
          <w:p w:rsidR="00AA5739" w:rsidRPr="009D1B1F" w:rsidRDefault="00AA5739" w:rsidP="009D1B1F">
            <w:pPr>
              <w:spacing w:after="0" w:line="240" w:lineRule="auto"/>
            </w:pPr>
          </w:p>
        </w:tc>
        <w:tc>
          <w:tcPr>
            <w:tcW w:w="1440" w:type="dxa"/>
          </w:tcPr>
          <w:p w:rsidR="00AA5739" w:rsidRPr="009D1B1F" w:rsidRDefault="00AA5739" w:rsidP="00E71354">
            <w:pPr>
              <w:spacing w:after="0" w:line="240" w:lineRule="auto"/>
            </w:pPr>
            <w:r>
              <w:rPr>
                <w:rFonts w:ascii="Arial" w:hAnsi="Arial" w:cs="Arial"/>
              </w:rPr>
              <w:t>Literacy Log</w:t>
            </w:r>
          </w:p>
        </w:tc>
        <w:tc>
          <w:tcPr>
            <w:tcW w:w="7123" w:type="dxa"/>
          </w:tcPr>
          <w:p w:rsidR="00AA5739" w:rsidRDefault="00AA5739" w:rsidP="00E71354">
            <w:pPr>
              <w:pStyle w:val="NormalWeb"/>
              <w:spacing w:before="0" w:beforeAutospacing="0" w:after="0" w:afterAutospacing="0"/>
            </w:pPr>
            <w:r>
              <w:rPr>
                <w:rFonts w:ascii="Arial" w:hAnsi="Arial" w:cs="Arial"/>
              </w:rPr>
              <w:t xml:space="preserve"> As students implement selected strategies described in the course or in the web links provided, students will select the strategies that best serve theirs and their students’ needs. Students will use these strategies and begin to implement them in the classroom and share with other faculty members at their school/class.   They will describe how they will adapt teaching strategies to meet their students’ needs (e.g., ESOL students, struggling readers) and the evidence they will use to assess its effectiveness. </w:t>
            </w:r>
          </w:p>
          <w:p w:rsidR="00AA5739" w:rsidRPr="009D1B1F" w:rsidRDefault="00AA5739" w:rsidP="00E71354">
            <w:pPr>
              <w:spacing w:after="0" w:line="240" w:lineRule="auto"/>
            </w:pPr>
          </w:p>
        </w:tc>
      </w:tr>
      <w:tr w:rsidR="006F3859" w:rsidRPr="009D1B1F" w:rsidTr="006E4E48">
        <w:tc>
          <w:tcPr>
            <w:tcW w:w="1583" w:type="dxa"/>
          </w:tcPr>
          <w:p w:rsidR="006E4E48" w:rsidRDefault="006E4E48" w:rsidP="006E4E48">
            <w:pPr>
              <w:spacing w:after="0" w:line="240" w:lineRule="auto"/>
            </w:pPr>
            <w:r>
              <w:t>RED 5147 L</w:t>
            </w:r>
          </w:p>
          <w:p w:rsidR="006E4E48" w:rsidRDefault="006E4E48" w:rsidP="006E4E48">
            <w:pPr>
              <w:spacing w:after="0" w:line="240" w:lineRule="auto"/>
            </w:pPr>
            <w:r>
              <w:t xml:space="preserve">Developmental </w:t>
            </w:r>
          </w:p>
          <w:p w:rsidR="006F3859" w:rsidRPr="009D1B1F" w:rsidRDefault="006E4E48" w:rsidP="006E4E48">
            <w:pPr>
              <w:spacing w:after="0" w:line="240" w:lineRule="auto"/>
            </w:pPr>
            <w:r>
              <w:t>Reading</w:t>
            </w:r>
          </w:p>
        </w:tc>
        <w:tc>
          <w:tcPr>
            <w:tcW w:w="3240" w:type="dxa"/>
          </w:tcPr>
          <w:p w:rsidR="006F3859" w:rsidRPr="00421BED" w:rsidRDefault="006F3859" w:rsidP="006F3859">
            <w:pPr>
              <w:autoSpaceDE w:val="0"/>
              <w:autoSpaceDN w:val="0"/>
              <w:adjustRightInd w:val="0"/>
              <w:spacing w:after="0" w:line="240" w:lineRule="auto"/>
              <w:outlineLvl w:val="2"/>
              <w:rPr>
                <w:rFonts w:ascii="BFJIGH+TimesNewRoman" w:hAnsi="BFJIGH+TimesNewRoman" w:cs="BFJIGH+TimesNewRoman"/>
                <w:color w:val="000000"/>
              </w:rPr>
            </w:pPr>
            <w:r w:rsidRPr="00421BED">
              <w:rPr>
                <w:rFonts w:ascii="BFJHMF+TimesNewRoman,Bold" w:hAnsi="BFJHMF+TimesNewRoman,Bold" w:cs="BFJHMF+TimesNewRoman,Bold"/>
                <w:b/>
                <w:bCs/>
                <w:color w:val="000000"/>
                <w:sz w:val="23"/>
                <w:szCs w:val="23"/>
              </w:rPr>
              <w:t>C: Fluency</w:t>
            </w:r>
            <w:r>
              <w:rPr>
                <w:rFonts w:ascii="BFJHMF+TimesNewRoman,Bold" w:hAnsi="BFJHMF+TimesNewRoman,Bold" w:cs="BFJHMF+TimesNewRoman,Bold"/>
                <w:b/>
                <w:bCs/>
                <w:color w:val="000000"/>
                <w:sz w:val="23"/>
                <w:szCs w:val="23"/>
              </w:rPr>
              <w:t xml:space="preserve">: </w:t>
            </w:r>
            <w:r w:rsidRPr="00421BED">
              <w:rPr>
                <w:rFonts w:ascii="BFJHMF+TimesNewRoman,Bold" w:hAnsi="BFJHMF+TimesNewRoman,Bold" w:cs="BFJHMF+TimesNewRoman,Bold"/>
                <w:color w:val="000000"/>
              </w:rPr>
              <w:t xml:space="preserve"> </w:t>
            </w:r>
            <w:r w:rsidRPr="00421BED">
              <w:rPr>
                <w:rFonts w:ascii="BFJIGH+TimesNewRoman" w:hAnsi="BFJIGH+TimesNewRoman" w:cs="BFJIGH+TimesNewRoman"/>
                <w:color w:val="000000"/>
              </w:rPr>
              <w:t xml:space="preserve">Identify explicit, systematic instructional plans for scaffolding fluency development and reading endurance (e.g., rereading, self-timing, independent reading material, reader’s theater, etc.) </w:t>
            </w:r>
          </w:p>
          <w:p w:rsidR="006F3859" w:rsidRPr="009D1B1F" w:rsidRDefault="006F3859" w:rsidP="00C010F5">
            <w:pPr>
              <w:spacing w:after="0" w:line="240" w:lineRule="auto"/>
            </w:pPr>
          </w:p>
        </w:tc>
        <w:tc>
          <w:tcPr>
            <w:tcW w:w="990" w:type="dxa"/>
          </w:tcPr>
          <w:p w:rsidR="006F3859" w:rsidRPr="009D1B1F" w:rsidRDefault="006F3859" w:rsidP="00C010F5">
            <w:pPr>
              <w:spacing w:after="0" w:line="240" w:lineRule="auto"/>
            </w:pPr>
          </w:p>
        </w:tc>
        <w:tc>
          <w:tcPr>
            <w:tcW w:w="1440" w:type="dxa"/>
          </w:tcPr>
          <w:p w:rsidR="006F3859" w:rsidRPr="009D1B1F" w:rsidRDefault="006F3859" w:rsidP="00E71354">
            <w:pPr>
              <w:spacing w:after="0" w:line="240" w:lineRule="auto"/>
            </w:pPr>
            <w:r>
              <w:rPr>
                <w:rFonts w:ascii="Arial" w:hAnsi="Arial" w:cs="Arial"/>
              </w:rPr>
              <w:t>Literacy Log</w:t>
            </w:r>
          </w:p>
        </w:tc>
        <w:tc>
          <w:tcPr>
            <w:tcW w:w="7123" w:type="dxa"/>
          </w:tcPr>
          <w:p w:rsidR="006F3859" w:rsidRDefault="006F3859" w:rsidP="00E71354">
            <w:pPr>
              <w:pStyle w:val="NormalWeb"/>
              <w:spacing w:before="0" w:beforeAutospacing="0" w:after="0" w:afterAutospacing="0"/>
            </w:pPr>
            <w:r>
              <w:rPr>
                <w:rFonts w:ascii="Arial" w:hAnsi="Arial" w:cs="Arial"/>
              </w:rPr>
              <w:t xml:space="preserve"> As students implement selected strategies described in the course or in the web links provided, students will select the strategies that best serve theirs and their students’ needs. Students will use these strategies and begin to implement them in the classroom and share with other faculty members at their school/class.   They will describe how they will adapt teaching strategies to meet their students’ needs (e.g., ESOL students, struggling readers) and the evidence they will use to assess its effectiveness. </w:t>
            </w:r>
          </w:p>
          <w:p w:rsidR="006F3859" w:rsidRPr="009D1B1F" w:rsidRDefault="006F3859" w:rsidP="00E71354">
            <w:pPr>
              <w:spacing w:after="0" w:line="240" w:lineRule="auto"/>
            </w:pPr>
          </w:p>
        </w:tc>
      </w:tr>
      <w:tr w:rsidR="00B708D8" w:rsidRPr="009D1B1F" w:rsidTr="006E4E48">
        <w:tc>
          <w:tcPr>
            <w:tcW w:w="1583" w:type="dxa"/>
          </w:tcPr>
          <w:p w:rsidR="006E4E48" w:rsidRDefault="006E4E48" w:rsidP="006E4E48">
            <w:pPr>
              <w:spacing w:after="0" w:line="240" w:lineRule="auto"/>
            </w:pPr>
            <w:r>
              <w:t>RED 5147 L</w:t>
            </w:r>
          </w:p>
          <w:p w:rsidR="006E4E48" w:rsidRDefault="006E4E48" w:rsidP="006E4E48">
            <w:pPr>
              <w:spacing w:after="0" w:line="240" w:lineRule="auto"/>
            </w:pPr>
            <w:r>
              <w:lastRenderedPageBreak/>
              <w:t xml:space="preserve">Developmental </w:t>
            </w:r>
          </w:p>
          <w:p w:rsidR="00B708D8" w:rsidRPr="00AD3CC4" w:rsidRDefault="006E4E48" w:rsidP="006E4E48">
            <w:pPr>
              <w:spacing w:after="0" w:line="240" w:lineRule="auto"/>
            </w:pPr>
            <w:r>
              <w:t>Reading</w:t>
            </w:r>
          </w:p>
        </w:tc>
        <w:tc>
          <w:tcPr>
            <w:tcW w:w="3240" w:type="dxa"/>
          </w:tcPr>
          <w:p w:rsidR="006F3859" w:rsidRPr="00421BED" w:rsidRDefault="006F3859" w:rsidP="006F3859">
            <w:pPr>
              <w:autoSpaceDE w:val="0"/>
              <w:autoSpaceDN w:val="0"/>
              <w:adjustRightInd w:val="0"/>
              <w:spacing w:after="0" w:line="240" w:lineRule="auto"/>
              <w:outlineLvl w:val="2"/>
              <w:rPr>
                <w:rFonts w:ascii="BFJIGH+TimesNewRoman" w:hAnsi="BFJIGH+TimesNewRoman" w:cs="BFJIGH+TimesNewRoman"/>
                <w:color w:val="000000"/>
              </w:rPr>
            </w:pPr>
            <w:r w:rsidRPr="00421BED">
              <w:rPr>
                <w:rFonts w:ascii="BFJHMF+TimesNewRoman,Bold" w:hAnsi="BFJHMF+TimesNewRoman,Bold" w:cs="BFJHMF+TimesNewRoman,Bold"/>
                <w:b/>
                <w:bCs/>
                <w:color w:val="000000"/>
                <w:sz w:val="23"/>
                <w:szCs w:val="23"/>
              </w:rPr>
              <w:lastRenderedPageBreak/>
              <w:t>D: Vocabulary</w:t>
            </w:r>
            <w:r>
              <w:rPr>
                <w:rFonts w:ascii="BFJHMF+TimesNewRoman,Bold" w:hAnsi="BFJHMF+TimesNewRoman,Bold" w:cs="BFJHMF+TimesNewRoman,Bold"/>
                <w:b/>
                <w:bCs/>
                <w:color w:val="000000"/>
                <w:sz w:val="23"/>
                <w:szCs w:val="23"/>
              </w:rPr>
              <w:t xml:space="preserve">: </w:t>
            </w:r>
            <w:r w:rsidRPr="00421BED">
              <w:rPr>
                <w:rFonts w:ascii="BFJHMF+TimesNewRoman,Bold" w:hAnsi="BFJHMF+TimesNewRoman,Bold" w:cs="BFJHMF+TimesNewRoman,Bold"/>
                <w:color w:val="000000"/>
              </w:rPr>
              <w:t xml:space="preserve"> </w:t>
            </w:r>
            <w:r w:rsidRPr="00421BED">
              <w:rPr>
                <w:rFonts w:ascii="BFJIGH+TimesNewRoman" w:hAnsi="BFJIGH+TimesNewRoman" w:cs="BFJIGH+TimesNewRoman"/>
                <w:color w:val="000000"/>
              </w:rPr>
              <w:t xml:space="preserve">Identify </w:t>
            </w:r>
            <w:r w:rsidRPr="00421BED">
              <w:rPr>
                <w:rFonts w:ascii="BFJIGH+TimesNewRoman" w:hAnsi="BFJIGH+TimesNewRoman" w:cs="BFJIGH+TimesNewRoman"/>
                <w:color w:val="000000"/>
              </w:rPr>
              <w:lastRenderedPageBreak/>
              <w:t xml:space="preserve">explicit, systematic instructional plans for scaffolding vocabulary and concept development (e.g., common morphological roots, morphemic analysis, system of word relationships, semantic mapping, semantic analysis, analogies, etc.) </w:t>
            </w:r>
          </w:p>
          <w:p w:rsidR="00B708D8" w:rsidRPr="009D1B1F" w:rsidRDefault="00B708D8" w:rsidP="00C010F5">
            <w:pPr>
              <w:spacing w:after="0" w:line="240" w:lineRule="auto"/>
            </w:pPr>
          </w:p>
        </w:tc>
        <w:tc>
          <w:tcPr>
            <w:tcW w:w="990" w:type="dxa"/>
          </w:tcPr>
          <w:p w:rsidR="00B708D8" w:rsidRPr="00AD3CC4" w:rsidRDefault="00B708D8" w:rsidP="00C010F5">
            <w:pPr>
              <w:spacing w:after="0" w:line="240" w:lineRule="auto"/>
            </w:pPr>
          </w:p>
        </w:tc>
        <w:tc>
          <w:tcPr>
            <w:tcW w:w="1440" w:type="dxa"/>
          </w:tcPr>
          <w:p w:rsidR="00B708D8" w:rsidRPr="00AD3CC4" w:rsidRDefault="006F3859" w:rsidP="00C010F5">
            <w:pPr>
              <w:spacing w:after="0" w:line="240" w:lineRule="auto"/>
            </w:pPr>
            <w:r>
              <w:t>Action Plan</w:t>
            </w:r>
          </w:p>
        </w:tc>
        <w:tc>
          <w:tcPr>
            <w:tcW w:w="7123" w:type="dxa"/>
          </w:tcPr>
          <w:p w:rsidR="00B708D8" w:rsidRPr="006E4E48" w:rsidRDefault="006F3859" w:rsidP="006E4E48">
            <w:pPr>
              <w:pStyle w:val="NormalWeb"/>
              <w:spacing w:before="0" w:beforeAutospacing="0" w:after="0" w:afterAutospacing="0"/>
              <w:rPr>
                <w:rFonts w:ascii="Calibri" w:hAnsi="Calibri" w:cs="Times New Roman"/>
              </w:rPr>
            </w:pPr>
            <w:r>
              <w:rPr>
                <w:rFonts w:ascii="Arial" w:hAnsi="Arial" w:cs="Arial"/>
              </w:rPr>
              <w:t xml:space="preserve">The action plan is the culminating assignment for this course. </w:t>
            </w:r>
            <w:r w:rsidR="006E4E48">
              <w:rPr>
                <w:rFonts w:ascii="Arial" w:hAnsi="Arial" w:cs="Arial"/>
              </w:rPr>
              <w:lastRenderedPageBreak/>
              <w:t xml:space="preserve">The candidate will </w:t>
            </w:r>
            <w:r>
              <w:rPr>
                <w:rFonts w:ascii="Arial" w:hAnsi="Arial" w:cs="Arial"/>
              </w:rPr>
              <w:t xml:space="preserve">explain how </w:t>
            </w:r>
            <w:r w:rsidR="006E4E48">
              <w:rPr>
                <w:rFonts w:ascii="Arial" w:hAnsi="Arial" w:cs="Arial"/>
              </w:rPr>
              <w:t xml:space="preserve">he/she </w:t>
            </w:r>
            <w:r>
              <w:rPr>
                <w:rFonts w:ascii="Arial" w:hAnsi="Arial" w:cs="Arial"/>
              </w:rPr>
              <w:t xml:space="preserve">will use what </w:t>
            </w:r>
            <w:r w:rsidR="006E4E48">
              <w:rPr>
                <w:rFonts w:ascii="Arial" w:hAnsi="Arial" w:cs="Arial"/>
              </w:rPr>
              <w:t>he/she has</w:t>
            </w:r>
            <w:r>
              <w:rPr>
                <w:rFonts w:ascii="Arial" w:hAnsi="Arial" w:cs="Arial"/>
              </w:rPr>
              <w:t xml:space="preserve"> learned in the course</w:t>
            </w:r>
            <w:r w:rsidR="006E4E48">
              <w:rPr>
                <w:rFonts w:ascii="Arial" w:hAnsi="Arial" w:cs="Arial"/>
              </w:rPr>
              <w:t xml:space="preserve"> and in his/her</w:t>
            </w:r>
            <w:r>
              <w:rPr>
                <w:rFonts w:ascii="Arial" w:hAnsi="Arial" w:cs="Arial"/>
              </w:rPr>
              <w:t xml:space="preserve"> own professional experience.  </w:t>
            </w:r>
            <w:r w:rsidR="006E4E48">
              <w:rPr>
                <w:rFonts w:ascii="Arial" w:hAnsi="Arial" w:cs="Arial"/>
              </w:rPr>
              <w:t xml:space="preserve">This will Include a detailed description of </w:t>
            </w:r>
            <w:r w:rsidRPr="006F3859">
              <w:rPr>
                <w:rFonts w:ascii="Arial" w:hAnsi="Arial" w:cs="Arial"/>
              </w:rPr>
              <w:t xml:space="preserve">how </w:t>
            </w:r>
            <w:r w:rsidR="006E4E48">
              <w:rPr>
                <w:rFonts w:ascii="Arial" w:hAnsi="Arial" w:cs="Arial"/>
              </w:rPr>
              <w:t xml:space="preserve">the candidate </w:t>
            </w:r>
            <w:r w:rsidRPr="006F3859">
              <w:rPr>
                <w:rFonts w:ascii="Arial" w:hAnsi="Arial" w:cs="Arial"/>
              </w:rPr>
              <w:t xml:space="preserve">will apply what </w:t>
            </w:r>
            <w:r w:rsidR="006E4E48">
              <w:rPr>
                <w:rFonts w:ascii="Arial" w:hAnsi="Arial" w:cs="Arial"/>
              </w:rPr>
              <w:t>he/she has</w:t>
            </w:r>
            <w:r w:rsidRPr="006F3859">
              <w:rPr>
                <w:rFonts w:ascii="Arial" w:hAnsi="Arial" w:cs="Arial"/>
              </w:rPr>
              <w:t xml:space="preserve"> learned</w:t>
            </w:r>
            <w:r w:rsidR="006E4E48">
              <w:rPr>
                <w:rFonts w:ascii="Arial" w:hAnsi="Arial" w:cs="Arial"/>
              </w:rPr>
              <w:t xml:space="preserve">, </w:t>
            </w:r>
            <w:r w:rsidRPr="006F3859">
              <w:rPr>
                <w:rFonts w:ascii="Arial" w:hAnsi="Arial" w:cs="Arial"/>
              </w:rPr>
              <w:t xml:space="preserve">a plan for (a) an objective or set of objectives, (b) specific steps </w:t>
            </w:r>
            <w:r w:rsidR="006E4E48">
              <w:rPr>
                <w:rFonts w:ascii="Arial" w:hAnsi="Arial" w:cs="Arial"/>
              </w:rPr>
              <w:t>he/she</w:t>
            </w:r>
            <w:r w:rsidRPr="006F3859">
              <w:rPr>
                <w:rFonts w:ascii="Arial" w:hAnsi="Arial" w:cs="Arial"/>
              </w:rPr>
              <w:t xml:space="preserve"> will take to meet the objective(s), (c) a timeline for implementation of the plan, and (d) </w:t>
            </w:r>
            <w:r w:rsidR="006E4E48">
              <w:rPr>
                <w:rFonts w:ascii="Arial" w:hAnsi="Arial" w:cs="Arial"/>
              </w:rPr>
              <w:t>the</w:t>
            </w:r>
            <w:r w:rsidRPr="006F3859">
              <w:rPr>
                <w:rFonts w:ascii="Arial" w:hAnsi="Arial" w:cs="Arial"/>
              </w:rPr>
              <w:t xml:space="preserve"> plan for evaluating implement</w:t>
            </w:r>
            <w:r w:rsidR="006E4E48">
              <w:rPr>
                <w:rFonts w:ascii="Arial" w:hAnsi="Arial" w:cs="Arial"/>
              </w:rPr>
              <w:t>ation of</w:t>
            </w:r>
            <w:r w:rsidRPr="006F3859">
              <w:rPr>
                <w:rFonts w:ascii="Arial" w:hAnsi="Arial" w:cs="Arial"/>
              </w:rPr>
              <w:t xml:space="preserve"> objective(s)</w:t>
            </w:r>
            <w:r w:rsidR="006E4E48">
              <w:rPr>
                <w:rFonts w:ascii="Arial" w:hAnsi="Arial" w:cs="Arial"/>
              </w:rPr>
              <w:t xml:space="preserve">, </w:t>
            </w:r>
            <w:r w:rsidRPr="006E4E48">
              <w:rPr>
                <w:rFonts w:ascii="Arial" w:hAnsi="Arial" w:cs="Arial"/>
              </w:rPr>
              <w:t xml:space="preserve">(e) artifacts used to implement </w:t>
            </w:r>
            <w:r w:rsidR="006E4E48">
              <w:rPr>
                <w:rFonts w:ascii="Arial" w:hAnsi="Arial" w:cs="Arial"/>
              </w:rPr>
              <w:t xml:space="preserve">the </w:t>
            </w:r>
            <w:r w:rsidRPr="006E4E48">
              <w:rPr>
                <w:rFonts w:ascii="Arial" w:hAnsi="Arial" w:cs="Arial"/>
              </w:rPr>
              <w:t xml:space="preserve">plan, (f) observations of student success, (g) areas to fine-tune in order to increase effectiveness, and (h) analysis of data to support </w:t>
            </w:r>
            <w:r w:rsidR="006E4E48">
              <w:rPr>
                <w:rFonts w:ascii="Arial" w:hAnsi="Arial" w:cs="Arial"/>
              </w:rPr>
              <w:t xml:space="preserve">the </w:t>
            </w:r>
            <w:r w:rsidRPr="006E4E48">
              <w:rPr>
                <w:rFonts w:ascii="Arial" w:hAnsi="Arial" w:cs="Arial"/>
              </w:rPr>
              <w:t>evaluation</w:t>
            </w:r>
            <w:r w:rsidR="006E4E48">
              <w:rPr>
                <w:rFonts w:ascii="Arial" w:hAnsi="Arial" w:cs="Arial"/>
              </w:rPr>
              <w:t>(s)</w:t>
            </w:r>
            <w:r w:rsidRPr="006E4E48">
              <w:rPr>
                <w:rFonts w:ascii="Arial" w:hAnsi="Arial" w:cs="Arial"/>
              </w:rPr>
              <w:t xml:space="preserve"> of the plan’s effectiveness.</w:t>
            </w:r>
            <w:r w:rsidRPr="006E4E48">
              <w:rPr>
                <w:rFonts w:ascii="Arial" w:hAnsi="Arial" w:cs="Arial"/>
                <w:b/>
                <w:bCs/>
              </w:rPr>
              <w:t xml:space="preserve"> </w:t>
            </w:r>
          </w:p>
        </w:tc>
      </w:tr>
      <w:tr w:rsidR="006E4E48" w:rsidRPr="009D1B1F" w:rsidTr="006E4E48">
        <w:tc>
          <w:tcPr>
            <w:tcW w:w="1583" w:type="dxa"/>
          </w:tcPr>
          <w:p w:rsidR="006E4E48" w:rsidRPr="00AD3CC4" w:rsidRDefault="006E4E48" w:rsidP="00C010F5">
            <w:pPr>
              <w:spacing w:after="0" w:line="240" w:lineRule="auto"/>
            </w:pPr>
          </w:p>
        </w:tc>
        <w:tc>
          <w:tcPr>
            <w:tcW w:w="3240" w:type="dxa"/>
          </w:tcPr>
          <w:p w:rsidR="006E4E48" w:rsidRPr="009D1B1F" w:rsidRDefault="006E4E48" w:rsidP="006E4E48">
            <w:pPr>
              <w:autoSpaceDE w:val="0"/>
              <w:autoSpaceDN w:val="0"/>
              <w:adjustRightInd w:val="0"/>
              <w:spacing w:after="0" w:line="240" w:lineRule="auto"/>
              <w:outlineLvl w:val="2"/>
            </w:pPr>
            <w:r w:rsidRPr="00421BED">
              <w:rPr>
                <w:rFonts w:ascii="BFJHMF+TimesNewRoman,Bold" w:hAnsi="BFJHMF+TimesNewRoman,Bold" w:cs="BFJHMF+TimesNewRoman,Bold"/>
                <w:b/>
                <w:bCs/>
                <w:color w:val="000000"/>
                <w:sz w:val="23"/>
                <w:szCs w:val="23"/>
              </w:rPr>
              <w:t>E: Comprehension</w:t>
            </w:r>
            <w:r>
              <w:rPr>
                <w:rFonts w:ascii="BFJHMF+TimesNewRoman,Bold" w:hAnsi="BFJHMF+TimesNewRoman,Bold" w:cs="BFJHMF+TimesNewRoman,Bold"/>
                <w:b/>
                <w:bCs/>
                <w:color w:val="000000"/>
                <w:sz w:val="23"/>
                <w:szCs w:val="23"/>
              </w:rPr>
              <w:t xml:space="preserve">: </w:t>
            </w:r>
            <w:r w:rsidRPr="00421BED">
              <w:rPr>
                <w:rFonts w:ascii="BFJIGH+TimesNewRoman" w:hAnsi="BFJIGH+TimesNewRoman" w:cs="BFJIGH+TimesNewRoman"/>
                <w:color w:val="000000"/>
              </w:rPr>
              <w:t xml:space="preserve">Identify explicit, systematic instructional plans for scaffolding development of comprehension skills and cognition (e.g., key questioning strategies such as reciprocal teaching, analysis of relevance of details, prediction; “think-aloud” strategies, sentence manipulation, paraphrasing, etc.) </w:t>
            </w:r>
          </w:p>
        </w:tc>
        <w:tc>
          <w:tcPr>
            <w:tcW w:w="990" w:type="dxa"/>
          </w:tcPr>
          <w:p w:rsidR="006E4E48" w:rsidRPr="00AD3CC4" w:rsidRDefault="006E4E48" w:rsidP="00C010F5">
            <w:pPr>
              <w:spacing w:after="0" w:line="240" w:lineRule="auto"/>
            </w:pPr>
          </w:p>
        </w:tc>
        <w:tc>
          <w:tcPr>
            <w:tcW w:w="1440" w:type="dxa"/>
          </w:tcPr>
          <w:p w:rsidR="006E4E48" w:rsidRPr="00AD3CC4" w:rsidRDefault="006E4E48" w:rsidP="00E71354">
            <w:pPr>
              <w:spacing w:after="0" w:line="240" w:lineRule="auto"/>
            </w:pPr>
            <w:r>
              <w:t>Action Plan</w:t>
            </w:r>
          </w:p>
        </w:tc>
        <w:tc>
          <w:tcPr>
            <w:tcW w:w="7123" w:type="dxa"/>
          </w:tcPr>
          <w:p w:rsidR="006E4E48" w:rsidRPr="006E4E48" w:rsidRDefault="006E4E48" w:rsidP="00E71354">
            <w:pPr>
              <w:pStyle w:val="NormalWeb"/>
              <w:spacing w:before="0" w:beforeAutospacing="0" w:after="0" w:afterAutospacing="0"/>
              <w:rPr>
                <w:rFonts w:ascii="Calibri" w:hAnsi="Calibri" w:cs="Times New Roman"/>
              </w:rPr>
            </w:pPr>
            <w:r>
              <w:rPr>
                <w:rFonts w:ascii="Arial" w:hAnsi="Arial" w:cs="Arial"/>
              </w:rPr>
              <w:t xml:space="preserve">The action plan is the culminating assignment for this course. The candidate will explain how he/she will use what he/she has learned in the course and in his/her own professional experience.  This will Include a detailed description of </w:t>
            </w:r>
            <w:r w:rsidRPr="006F3859">
              <w:rPr>
                <w:rFonts w:ascii="Arial" w:hAnsi="Arial" w:cs="Arial"/>
              </w:rPr>
              <w:t xml:space="preserve">how </w:t>
            </w:r>
            <w:r>
              <w:rPr>
                <w:rFonts w:ascii="Arial" w:hAnsi="Arial" w:cs="Arial"/>
              </w:rPr>
              <w:t xml:space="preserve">the candidate </w:t>
            </w:r>
            <w:r w:rsidRPr="006F3859">
              <w:rPr>
                <w:rFonts w:ascii="Arial" w:hAnsi="Arial" w:cs="Arial"/>
              </w:rPr>
              <w:t xml:space="preserve">will apply what </w:t>
            </w:r>
            <w:r>
              <w:rPr>
                <w:rFonts w:ascii="Arial" w:hAnsi="Arial" w:cs="Arial"/>
              </w:rPr>
              <w:t>he/she has</w:t>
            </w:r>
            <w:r w:rsidRPr="006F3859">
              <w:rPr>
                <w:rFonts w:ascii="Arial" w:hAnsi="Arial" w:cs="Arial"/>
              </w:rPr>
              <w:t xml:space="preserve"> learned</w:t>
            </w:r>
            <w:r>
              <w:rPr>
                <w:rFonts w:ascii="Arial" w:hAnsi="Arial" w:cs="Arial"/>
              </w:rPr>
              <w:t xml:space="preserve">, </w:t>
            </w:r>
            <w:r w:rsidRPr="006F3859">
              <w:rPr>
                <w:rFonts w:ascii="Arial" w:hAnsi="Arial" w:cs="Arial"/>
              </w:rPr>
              <w:t xml:space="preserve">a plan for (a) an objective or set of objectives, (b) specific steps </w:t>
            </w:r>
            <w:r>
              <w:rPr>
                <w:rFonts w:ascii="Arial" w:hAnsi="Arial" w:cs="Arial"/>
              </w:rPr>
              <w:t>he/she</w:t>
            </w:r>
            <w:r w:rsidRPr="006F3859">
              <w:rPr>
                <w:rFonts w:ascii="Arial" w:hAnsi="Arial" w:cs="Arial"/>
              </w:rPr>
              <w:t xml:space="preserve"> will take to meet the objective(s), (c) a timeline for implementation of the plan, and (d) </w:t>
            </w:r>
            <w:r>
              <w:rPr>
                <w:rFonts w:ascii="Arial" w:hAnsi="Arial" w:cs="Arial"/>
              </w:rPr>
              <w:t>the</w:t>
            </w:r>
            <w:r w:rsidRPr="006F3859">
              <w:rPr>
                <w:rFonts w:ascii="Arial" w:hAnsi="Arial" w:cs="Arial"/>
              </w:rPr>
              <w:t xml:space="preserve"> plan for evaluating implement</w:t>
            </w:r>
            <w:r>
              <w:rPr>
                <w:rFonts w:ascii="Arial" w:hAnsi="Arial" w:cs="Arial"/>
              </w:rPr>
              <w:t>ation of</w:t>
            </w:r>
            <w:r w:rsidRPr="006F3859">
              <w:rPr>
                <w:rFonts w:ascii="Arial" w:hAnsi="Arial" w:cs="Arial"/>
              </w:rPr>
              <w:t xml:space="preserve"> objective(s)</w:t>
            </w:r>
            <w:r>
              <w:rPr>
                <w:rFonts w:ascii="Arial" w:hAnsi="Arial" w:cs="Arial"/>
              </w:rPr>
              <w:t xml:space="preserve">, </w:t>
            </w:r>
            <w:r w:rsidRPr="006E4E48">
              <w:rPr>
                <w:rFonts w:ascii="Arial" w:hAnsi="Arial" w:cs="Arial"/>
              </w:rPr>
              <w:t xml:space="preserve">(e) artifacts used to implement </w:t>
            </w:r>
            <w:r>
              <w:rPr>
                <w:rFonts w:ascii="Arial" w:hAnsi="Arial" w:cs="Arial"/>
              </w:rPr>
              <w:t xml:space="preserve">the </w:t>
            </w:r>
            <w:r w:rsidRPr="006E4E48">
              <w:rPr>
                <w:rFonts w:ascii="Arial" w:hAnsi="Arial" w:cs="Arial"/>
              </w:rPr>
              <w:t xml:space="preserve">plan, (f) observations of student success, (g) areas to fine-tune in order to increase effectiveness, and (h) analysis of data to support </w:t>
            </w:r>
            <w:r>
              <w:rPr>
                <w:rFonts w:ascii="Arial" w:hAnsi="Arial" w:cs="Arial"/>
              </w:rPr>
              <w:t xml:space="preserve">the </w:t>
            </w:r>
            <w:r w:rsidRPr="006E4E48">
              <w:rPr>
                <w:rFonts w:ascii="Arial" w:hAnsi="Arial" w:cs="Arial"/>
              </w:rPr>
              <w:t>evaluation</w:t>
            </w:r>
            <w:r>
              <w:rPr>
                <w:rFonts w:ascii="Arial" w:hAnsi="Arial" w:cs="Arial"/>
              </w:rPr>
              <w:t>(s)</w:t>
            </w:r>
            <w:r w:rsidRPr="006E4E48">
              <w:rPr>
                <w:rFonts w:ascii="Arial" w:hAnsi="Arial" w:cs="Arial"/>
              </w:rPr>
              <w:t xml:space="preserve"> of the plan’s effectiveness.</w:t>
            </w:r>
            <w:r w:rsidRPr="006E4E48">
              <w:rPr>
                <w:rFonts w:ascii="Arial" w:hAnsi="Arial" w:cs="Arial"/>
                <w:b/>
                <w:bCs/>
              </w:rPr>
              <w:t xml:space="preserve"> </w:t>
            </w:r>
          </w:p>
        </w:tc>
      </w:tr>
      <w:tr w:rsidR="00E71354" w:rsidRPr="009D1B1F" w:rsidTr="006E4E48">
        <w:tc>
          <w:tcPr>
            <w:tcW w:w="1583" w:type="dxa"/>
          </w:tcPr>
          <w:p w:rsidR="00E71354" w:rsidRPr="00AD3CC4" w:rsidRDefault="00E71354" w:rsidP="00C010F5">
            <w:pPr>
              <w:spacing w:after="0" w:line="240" w:lineRule="auto"/>
            </w:pPr>
          </w:p>
        </w:tc>
        <w:tc>
          <w:tcPr>
            <w:tcW w:w="3240" w:type="dxa"/>
          </w:tcPr>
          <w:p w:rsidR="00E71354" w:rsidRDefault="00E71354" w:rsidP="006E4E48">
            <w:pPr>
              <w:autoSpaceDE w:val="0"/>
              <w:autoSpaceDN w:val="0"/>
              <w:adjustRightInd w:val="0"/>
              <w:spacing w:after="0" w:line="240" w:lineRule="auto"/>
              <w:rPr>
                <w:rFonts w:ascii="BFJHMF+TimesNewRoman,Bold" w:hAnsi="BFJHMF+TimesNewRoman,Bold" w:cs="BFJHMF+TimesNewRoman,Bold"/>
                <w:b/>
                <w:bCs/>
                <w:color w:val="000000"/>
              </w:rPr>
            </w:pPr>
            <w:r w:rsidRPr="00421BED">
              <w:rPr>
                <w:rFonts w:ascii="BFJHMF+TimesNewRoman,Bold" w:hAnsi="BFJHMF+TimesNewRoman,Bold" w:cs="BFJHMF+TimesNewRoman,Bold"/>
                <w:b/>
                <w:bCs/>
                <w:color w:val="000000"/>
                <w:sz w:val="23"/>
                <w:szCs w:val="23"/>
              </w:rPr>
              <w:t xml:space="preserve">F: </w:t>
            </w:r>
            <w:r w:rsidRPr="00421BED">
              <w:rPr>
                <w:rFonts w:ascii="BFJHMF+TimesNewRoman,Bold" w:hAnsi="BFJHMF+TimesNewRoman,Bold" w:cs="BFJHMF+TimesNewRoman,Bold"/>
                <w:b/>
                <w:bCs/>
                <w:color w:val="000000"/>
              </w:rPr>
              <w:t>Integration of the major reading components</w:t>
            </w:r>
            <w:r>
              <w:rPr>
                <w:rFonts w:ascii="BFJHMF+TimesNewRoman,Bold" w:hAnsi="BFJHMF+TimesNewRoman,Bold" w:cs="BFJHMF+TimesNewRoman,Bold"/>
                <w:b/>
                <w:bCs/>
                <w:color w:val="000000"/>
              </w:rPr>
              <w:t>:</w:t>
            </w:r>
          </w:p>
          <w:p w:rsidR="00E71354" w:rsidRPr="00E71354" w:rsidRDefault="00E71354" w:rsidP="00E71354">
            <w:pPr>
              <w:numPr>
                <w:ilvl w:val="0"/>
                <w:numId w:val="2"/>
              </w:numPr>
              <w:autoSpaceDE w:val="0"/>
              <w:autoSpaceDN w:val="0"/>
              <w:adjustRightInd w:val="0"/>
              <w:spacing w:after="0" w:line="240" w:lineRule="auto"/>
              <w:rPr>
                <w:rFonts w:ascii="BFJHMF+TimesNewRoman,Bold" w:hAnsi="BFJHMF+TimesNewRoman,Bold" w:cs="BFJHMF+TimesNewRoman,Bold"/>
                <w:color w:val="000000"/>
              </w:rPr>
            </w:pPr>
            <w:r>
              <w:rPr>
                <w:rFonts w:ascii="BFJHMF+TimesNewRoman,Bold" w:hAnsi="BFJHMF+TimesNewRoman,Bold" w:cs="BFJHMF+TimesNewRoman,Bold"/>
                <w:b/>
                <w:bCs/>
                <w:color w:val="000000"/>
              </w:rPr>
              <w:t xml:space="preserve"> </w:t>
            </w:r>
            <w:r w:rsidRPr="00421BED">
              <w:rPr>
                <w:rFonts w:ascii="BFJIGH+TimesNewRoman" w:hAnsi="BFJIGH+TimesNewRoman" w:cs="BFJIGH+TimesNewRoman"/>
                <w:color w:val="000000"/>
              </w:rPr>
              <w:t xml:space="preserve">Identify comprehensive instructional plans that synchronize the major reading components (e.g., a lesson plan: structural analysis, morphemic analysis, reciprocal teaching, rereading, etc.) </w:t>
            </w:r>
          </w:p>
        </w:tc>
        <w:tc>
          <w:tcPr>
            <w:tcW w:w="990" w:type="dxa"/>
          </w:tcPr>
          <w:p w:rsidR="00E71354" w:rsidRPr="00AD3CC4" w:rsidRDefault="00E71354" w:rsidP="00C010F5">
            <w:pPr>
              <w:spacing w:after="0" w:line="240" w:lineRule="auto"/>
            </w:pPr>
          </w:p>
        </w:tc>
        <w:tc>
          <w:tcPr>
            <w:tcW w:w="1440" w:type="dxa"/>
          </w:tcPr>
          <w:p w:rsidR="00E71354" w:rsidRPr="00AD3CC4" w:rsidRDefault="00E71354" w:rsidP="00E71354">
            <w:pPr>
              <w:spacing w:after="0" w:line="240" w:lineRule="auto"/>
            </w:pPr>
            <w:r>
              <w:t>Action Plan</w:t>
            </w:r>
          </w:p>
        </w:tc>
        <w:tc>
          <w:tcPr>
            <w:tcW w:w="7123" w:type="dxa"/>
          </w:tcPr>
          <w:p w:rsidR="00E71354" w:rsidRPr="006E4E48" w:rsidRDefault="00E71354" w:rsidP="00E71354">
            <w:pPr>
              <w:pStyle w:val="NormalWeb"/>
              <w:spacing w:before="0" w:beforeAutospacing="0" w:after="0" w:afterAutospacing="0"/>
              <w:rPr>
                <w:rFonts w:ascii="Calibri" w:hAnsi="Calibri" w:cs="Times New Roman"/>
              </w:rPr>
            </w:pPr>
            <w:r>
              <w:rPr>
                <w:rFonts w:ascii="Arial" w:hAnsi="Arial" w:cs="Arial"/>
              </w:rPr>
              <w:t xml:space="preserve">The action plan is the culminating assignment for this course. The candidate will explain how he/she will use what he/she has learned in the course and in his/her own professional experience.  This will Include a detailed description of </w:t>
            </w:r>
            <w:r w:rsidRPr="006F3859">
              <w:rPr>
                <w:rFonts w:ascii="Arial" w:hAnsi="Arial" w:cs="Arial"/>
              </w:rPr>
              <w:t xml:space="preserve">how </w:t>
            </w:r>
            <w:r>
              <w:rPr>
                <w:rFonts w:ascii="Arial" w:hAnsi="Arial" w:cs="Arial"/>
              </w:rPr>
              <w:t xml:space="preserve">the candidate </w:t>
            </w:r>
            <w:r w:rsidRPr="006F3859">
              <w:rPr>
                <w:rFonts w:ascii="Arial" w:hAnsi="Arial" w:cs="Arial"/>
              </w:rPr>
              <w:t xml:space="preserve">will apply what </w:t>
            </w:r>
            <w:r>
              <w:rPr>
                <w:rFonts w:ascii="Arial" w:hAnsi="Arial" w:cs="Arial"/>
              </w:rPr>
              <w:t>he/she has</w:t>
            </w:r>
            <w:r w:rsidRPr="006F3859">
              <w:rPr>
                <w:rFonts w:ascii="Arial" w:hAnsi="Arial" w:cs="Arial"/>
              </w:rPr>
              <w:t xml:space="preserve"> learned</w:t>
            </w:r>
            <w:r>
              <w:rPr>
                <w:rFonts w:ascii="Arial" w:hAnsi="Arial" w:cs="Arial"/>
              </w:rPr>
              <w:t xml:space="preserve">, </w:t>
            </w:r>
            <w:r w:rsidRPr="006F3859">
              <w:rPr>
                <w:rFonts w:ascii="Arial" w:hAnsi="Arial" w:cs="Arial"/>
              </w:rPr>
              <w:t xml:space="preserve">a plan for (a) an objective or set of objectives, (b) specific steps </w:t>
            </w:r>
            <w:r>
              <w:rPr>
                <w:rFonts w:ascii="Arial" w:hAnsi="Arial" w:cs="Arial"/>
              </w:rPr>
              <w:t>he/she</w:t>
            </w:r>
            <w:r w:rsidRPr="006F3859">
              <w:rPr>
                <w:rFonts w:ascii="Arial" w:hAnsi="Arial" w:cs="Arial"/>
              </w:rPr>
              <w:t xml:space="preserve"> will take to meet the objective(s), (c) a timeline for implementation of the plan, and (d) </w:t>
            </w:r>
            <w:r>
              <w:rPr>
                <w:rFonts w:ascii="Arial" w:hAnsi="Arial" w:cs="Arial"/>
              </w:rPr>
              <w:t>the</w:t>
            </w:r>
            <w:r w:rsidRPr="006F3859">
              <w:rPr>
                <w:rFonts w:ascii="Arial" w:hAnsi="Arial" w:cs="Arial"/>
              </w:rPr>
              <w:t xml:space="preserve"> plan for evaluating implement</w:t>
            </w:r>
            <w:r>
              <w:rPr>
                <w:rFonts w:ascii="Arial" w:hAnsi="Arial" w:cs="Arial"/>
              </w:rPr>
              <w:t>ation of</w:t>
            </w:r>
            <w:r w:rsidRPr="006F3859">
              <w:rPr>
                <w:rFonts w:ascii="Arial" w:hAnsi="Arial" w:cs="Arial"/>
              </w:rPr>
              <w:t xml:space="preserve"> objective(s)</w:t>
            </w:r>
            <w:r>
              <w:rPr>
                <w:rFonts w:ascii="Arial" w:hAnsi="Arial" w:cs="Arial"/>
              </w:rPr>
              <w:t xml:space="preserve">, </w:t>
            </w:r>
            <w:r w:rsidRPr="006E4E48">
              <w:rPr>
                <w:rFonts w:ascii="Arial" w:hAnsi="Arial" w:cs="Arial"/>
              </w:rPr>
              <w:t xml:space="preserve">(e) artifacts used to implement </w:t>
            </w:r>
            <w:r>
              <w:rPr>
                <w:rFonts w:ascii="Arial" w:hAnsi="Arial" w:cs="Arial"/>
              </w:rPr>
              <w:t xml:space="preserve">the </w:t>
            </w:r>
            <w:r w:rsidRPr="006E4E48">
              <w:rPr>
                <w:rFonts w:ascii="Arial" w:hAnsi="Arial" w:cs="Arial"/>
              </w:rPr>
              <w:t xml:space="preserve">plan, (f) observations of student success, (g) areas to fine-tune in order to increase effectiveness, and (h) analysis of data to support </w:t>
            </w:r>
            <w:r>
              <w:rPr>
                <w:rFonts w:ascii="Arial" w:hAnsi="Arial" w:cs="Arial"/>
              </w:rPr>
              <w:t xml:space="preserve">the </w:t>
            </w:r>
            <w:r w:rsidRPr="006E4E48">
              <w:rPr>
                <w:rFonts w:ascii="Arial" w:hAnsi="Arial" w:cs="Arial"/>
              </w:rPr>
              <w:t>evaluation</w:t>
            </w:r>
            <w:r>
              <w:rPr>
                <w:rFonts w:ascii="Arial" w:hAnsi="Arial" w:cs="Arial"/>
              </w:rPr>
              <w:t>(s)</w:t>
            </w:r>
            <w:r w:rsidRPr="006E4E48">
              <w:rPr>
                <w:rFonts w:ascii="Arial" w:hAnsi="Arial" w:cs="Arial"/>
              </w:rPr>
              <w:t xml:space="preserve"> of the plan’s effectiveness.</w:t>
            </w:r>
            <w:r w:rsidRPr="006E4E48">
              <w:rPr>
                <w:rFonts w:ascii="Arial" w:hAnsi="Arial" w:cs="Arial"/>
                <w:b/>
                <w:bCs/>
              </w:rPr>
              <w:t xml:space="preserve"> </w:t>
            </w:r>
          </w:p>
        </w:tc>
      </w:tr>
      <w:tr w:rsidR="00E71354" w:rsidRPr="009D1B1F" w:rsidTr="006E4E48">
        <w:tc>
          <w:tcPr>
            <w:tcW w:w="1583" w:type="dxa"/>
          </w:tcPr>
          <w:p w:rsidR="00E71354" w:rsidRPr="00AD3CC4" w:rsidRDefault="00E71354" w:rsidP="00C010F5">
            <w:pPr>
              <w:spacing w:after="0" w:line="240" w:lineRule="auto"/>
            </w:pPr>
          </w:p>
        </w:tc>
        <w:tc>
          <w:tcPr>
            <w:tcW w:w="3240" w:type="dxa"/>
          </w:tcPr>
          <w:p w:rsidR="00E71354" w:rsidRPr="00E71354" w:rsidRDefault="00E71354" w:rsidP="00C010F5">
            <w:pPr>
              <w:numPr>
                <w:ilvl w:val="0"/>
                <w:numId w:val="2"/>
              </w:numPr>
              <w:autoSpaceDE w:val="0"/>
              <w:autoSpaceDN w:val="0"/>
              <w:adjustRightInd w:val="0"/>
              <w:spacing w:after="0" w:line="240" w:lineRule="auto"/>
              <w:rPr>
                <w:rFonts w:ascii="BFJIGH+TimesNewRoman" w:hAnsi="BFJIGH+TimesNewRoman" w:cs="BFJIGH+TimesNewRoman"/>
                <w:color w:val="000000"/>
              </w:rPr>
            </w:pPr>
            <w:r w:rsidRPr="00421BED">
              <w:rPr>
                <w:rFonts w:ascii="BFJIGH+TimesNewRoman" w:hAnsi="BFJIGH+TimesNewRoman" w:cs="BFJIGH+TimesNewRoman"/>
                <w:color w:val="000000"/>
                <w:sz w:val="23"/>
                <w:szCs w:val="23"/>
              </w:rPr>
              <w:t xml:space="preserve"> </w:t>
            </w:r>
            <w:r w:rsidRPr="00421BED">
              <w:rPr>
                <w:rFonts w:ascii="BFJIGH+TimesNewRoman" w:hAnsi="BFJIGH+TimesNewRoman" w:cs="BFJIGH+TimesNewRoman"/>
                <w:color w:val="000000"/>
              </w:rPr>
              <w:t xml:space="preserve">Identify explicit, systematic instructional plan for scaffolding content area vocabulary </w:t>
            </w:r>
            <w:r w:rsidRPr="00421BED">
              <w:rPr>
                <w:rFonts w:ascii="BFJIGH+TimesNewRoman" w:hAnsi="BFJIGH+TimesNewRoman" w:cs="BFJIGH+TimesNewRoman"/>
                <w:color w:val="000000"/>
              </w:rPr>
              <w:lastRenderedPageBreak/>
              <w:t xml:space="preserve">development and reading skills (e.g., morphemic analysis, semantic analysis, reciprocal teaching, writing to learn, etc.) </w:t>
            </w:r>
          </w:p>
        </w:tc>
        <w:tc>
          <w:tcPr>
            <w:tcW w:w="990" w:type="dxa"/>
          </w:tcPr>
          <w:p w:rsidR="00E71354" w:rsidRPr="00AD3CC4" w:rsidRDefault="00E71354" w:rsidP="00C010F5">
            <w:pPr>
              <w:spacing w:after="0" w:line="240" w:lineRule="auto"/>
            </w:pPr>
          </w:p>
        </w:tc>
        <w:tc>
          <w:tcPr>
            <w:tcW w:w="1440" w:type="dxa"/>
          </w:tcPr>
          <w:p w:rsidR="00E71354" w:rsidRPr="009D1B1F" w:rsidRDefault="00E71354" w:rsidP="00E71354">
            <w:pPr>
              <w:spacing w:after="0" w:line="240" w:lineRule="auto"/>
            </w:pPr>
            <w:r>
              <w:rPr>
                <w:rFonts w:ascii="Arial" w:hAnsi="Arial" w:cs="Arial"/>
              </w:rPr>
              <w:t>Literacy Log</w:t>
            </w:r>
          </w:p>
        </w:tc>
        <w:tc>
          <w:tcPr>
            <w:tcW w:w="7123" w:type="dxa"/>
          </w:tcPr>
          <w:p w:rsidR="00E71354" w:rsidRDefault="00E71354" w:rsidP="00E71354">
            <w:pPr>
              <w:pStyle w:val="NormalWeb"/>
              <w:spacing w:before="0" w:beforeAutospacing="0" w:after="0" w:afterAutospacing="0"/>
            </w:pPr>
            <w:r>
              <w:rPr>
                <w:rFonts w:ascii="Arial" w:hAnsi="Arial" w:cs="Arial"/>
              </w:rPr>
              <w:t xml:space="preserve"> As students implement selected strategies described in the course or in the web links provided, students will select the strategies that best serve theirs and their students’ needs. </w:t>
            </w:r>
            <w:r>
              <w:rPr>
                <w:rFonts w:ascii="Arial" w:hAnsi="Arial" w:cs="Arial"/>
              </w:rPr>
              <w:lastRenderedPageBreak/>
              <w:t xml:space="preserve">Students will use these strategies and begin to implement them in the classroom and share with other faculty members at their school/class.   They will describe how they will adapt teaching strategies to meet their students’ needs (e.g., ESOL students, struggling readers) and the evidence they will use to assess its effectiveness. </w:t>
            </w:r>
          </w:p>
          <w:p w:rsidR="00E71354" w:rsidRPr="009D1B1F" w:rsidRDefault="00E71354" w:rsidP="00E71354">
            <w:pPr>
              <w:spacing w:after="0" w:line="240" w:lineRule="auto"/>
            </w:pPr>
          </w:p>
        </w:tc>
      </w:tr>
      <w:tr w:rsidR="00E71354" w:rsidRPr="009D1B1F" w:rsidTr="006E4E48">
        <w:tc>
          <w:tcPr>
            <w:tcW w:w="1583" w:type="dxa"/>
          </w:tcPr>
          <w:p w:rsidR="00E71354" w:rsidRPr="00AD3CC4" w:rsidRDefault="00E71354" w:rsidP="00C010F5">
            <w:pPr>
              <w:spacing w:after="0" w:line="240" w:lineRule="auto"/>
            </w:pPr>
          </w:p>
        </w:tc>
        <w:tc>
          <w:tcPr>
            <w:tcW w:w="3240" w:type="dxa"/>
          </w:tcPr>
          <w:p w:rsidR="00E71354" w:rsidRPr="00421BED" w:rsidRDefault="00E71354" w:rsidP="00E71354">
            <w:pPr>
              <w:numPr>
                <w:ilvl w:val="0"/>
                <w:numId w:val="2"/>
              </w:numPr>
              <w:autoSpaceDE w:val="0"/>
              <w:autoSpaceDN w:val="0"/>
              <w:adjustRightInd w:val="0"/>
              <w:spacing w:after="0" w:line="240" w:lineRule="auto"/>
              <w:rPr>
                <w:rFonts w:ascii="BFJIGH+TimesNewRoman" w:hAnsi="BFJIGH+TimesNewRoman" w:cs="BFJIGH+TimesNewRoman"/>
                <w:color w:val="000000"/>
              </w:rPr>
            </w:pPr>
            <w:r w:rsidRPr="00421BED">
              <w:rPr>
                <w:rFonts w:ascii="BFJIGH+TimesNewRoman" w:hAnsi="BFJIGH+TimesNewRoman" w:cs="BFJIGH+TimesNewRoman"/>
                <w:color w:val="000000"/>
              </w:rPr>
              <w:t xml:space="preserve">Identify resources and research-based practices that create both language-rich and print-rich environments (e.g., large and diverse classroom libraries; questioning the author; interactive response to authentic reading and writing tasks, etc.) </w:t>
            </w:r>
          </w:p>
          <w:p w:rsidR="00E71354" w:rsidRPr="009D1B1F" w:rsidRDefault="00E71354" w:rsidP="00E71354">
            <w:pPr>
              <w:autoSpaceDE w:val="0"/>
              <w:autoSpaceDN w:val="0"/>
              <w:adjustRightInd w:val="0"/>
              <w:spacing w:after="0" w:line="240" w:lineRule="auto"/>
            </w:pPr>
          </w:p>
        </w:tc>
        <w:tc>
          <w:tcPr>
            <w:tcW w:w="990" w:type="dxa"/>
          </w:tcPr>
          <w:p w:rsidR="00E71354" w:rsidRPr="00AD3CC4" w:rsidRDefault="00E71354" w:rsidP="00C010F5">
            <w:pPr>
              <w:spacing w:after="0" w:line="240" w:lineRule="auto"/>
            </w:pPr>
          </w:p>
        </w:tc>
        <w:tc>
          <w:tcPr>
            <w:tcW w:w="1440" w:type="dxa"/>
          </w:tcPr>
          <w:p w:rsidR="00E71354" w:rsidRPr="009D1B1F" w:rsidRDefault="00E71354" w:rsidP="00E71354">
            <w:pPr>
              <w:spacing w:after="0" w:line="240" w:lineRule="auto"/>
            </w:pPr>
            <w:r>
              <w:rPr>
                <w:rFonts w:ascii="Arial" w:hAnsi="Arial" w:cs="Arial"/>
              </w:rPr>
              <w:t>Literacy Log</w:t>
            </w:r>
          </w:p>
        </w:tc>
        <w:tc>
          <w:tcPr>
            <w:tcW w:w="7123" w:type="dxa"/>
          </w:tcPr>
          <w:p w:rsidR="00E71354" w:rsidRDefault="00E71354" w:rsidP="00E71354">
            <w:pPr>
              <w:pStyle w:val="NormalWeb"/>
              <w:spacing w:before="0" w:beforeAutospacing="0" w:after="0" w:afterAutospacing="0"/>
            </w:pPr>
            <w:r>
              <w:rPr>
                <w:rFonts w:ascii="Arial" w:hAnsi="Arial" w:cs="Arial"/>
              </w:rPr>
              <w:t xml:space="preserve"> As students implement selected strategies described in the course or in the web links provided, students will select the strategies that best serve theirs and their students’ needs. Students will use these strategies and begin to implement them in the classroom and share with other faculty members at their school/class.   They will describe how they will adapt teaching strategies to meet their students’ needs (e.g., ESOL students, struggling readers) and the evidence they will use to assess its effectiveness. </w:t>
            </w:r>
          </w:p>
          <w:p w:rsidR="00E71354" w:rsidRPr="009D1B1F" w:rsidRDefault="00E71354" w:rsidP="00E71354">
            <w:pPr>
              <w:spacing w:after="0" w:line="240" w:lineRule="auto"/>
            </w:pPr>
          </w:p>
        </w:tc>
      </w:tr>
      <w:tr w:rsidR="00E71354" w:rsidRPr="009D1B1F" w:rsidTr="006E4E48">
        <w:tc>
          <w:tcPr>
            <w:tcW w:w="1583" w:type="dxa"/>
          </w:tcPr>
          <w:p w:rsidR="00E71354" w:rsidRPr="00AD3CC4" w:rsidRDefault="00E71354" w:rsidP="00C010F5">
            <w:pPr>
              <w:spacing w:after="0" w:line="240" w:lineRule="auto"/>
            </w:pPr>
          </w:p>
        </w:tc>
        <w:tc>
          <w:tcPr>
            <w:tcW w:w="3240" w:type="dxa"/>
          </w:tcPr>
          <w:p w:rsidR="00E71354" w:rsidRPr="00421BED" w:rsidRDefault="00E71354" w:rsidP="00E71354">
            <w:pPr>
              <w:numPr>
                <w:ilvl w:val="0"/>
                <w:numId w:val="2"/>
              </w:numPr>
              <w:autoSpaceDE w:val="0"/>
              <w:autoSpaceDN w:val="0"/>
              <w:adjustRightInd w:val="0"/>
              <w:spacing w:after="0" w:line="240" w:lineRule="auto"/>
              <w:rPr>
                <w:rFonts w:ascii="BFJHMF+TimesNewRoman,Bold" w:hAnsi="BFJHMF+TimesNewRoman,Bold" w:cs="BFJHMF+TimesNewRoman,Bold"/>
                <w:color w:val="000000"/>
              </w:rPr>
            </w:pPr>
            <w:r w:rsidRPr="00421BED">
              <w:rPr>
                <w:rFonts w:ascii="BFJIGH+TimesNewRoman" w:hAnsi="BFJIGH+TimesNewRoman" w:cs="BFJIGH+TimesNewRoman"/>
                <w:color w:val="000000"/>
              </w:rPr>
              <w:t xml:space="preserve">Identify research-based guidelines and selection tools for choosing literature and expository text appropriate to students’ interests and independent reading proficiency </w:t>
            </w:r>
          </w:p>
          <w:p w:rsidR="00E71354" w:rsidRPr="00421BED" w:rsidRDefault="00E71354" w:rsidP="00E71354">
            <w:pPr>
              <w:autoSpaceDE w:val="0"/>
              <w:autoSpaceDN w:val="0"/>
              <w:adjustRightInd w:val="0"/>
              <w:spacing w:after="0" w:line="240" w:lineRule="auto"/>
              <w:rPr>
                <w:rFonts w:ascii="BFJIGH+TimesNewRoman" w:hAnsi="BFJIGH+TimesNewRoman" w:cs="BFJIGH+TimesNewRoman"/>
                <w:color w:val="000000"/>
              </w:rPr>
            </w:pPr>
          </w:p>
        </w:tc>
        <w:tc>
          <w:tcPr>
            <w:tcW w:w="990" w:type="dxa"/>
          </w:tcPr>
          <w:p w:rsidR="00E71354" w:rsidRPr="00AD3CC4" w:rsidRDefault="00E71354" w:rsidP="00C010F5">
            <w:pPr>
              <w:spacing w:after="0" w:line="240" w:lineRule="auto"/>
            </w:pPr>
          </w:p>
        </w:tc>
        <w:tc>
          <w:tcPr>
            <w:tcW w:w="1440" w:type="dxa"/>
          </w:tcPr>
          <w:p w:rsidR="00E71354" w:rsidRPr="009D1B1F" w:rsidRDefault="00E71354" w:rsidP="00E71354">
            <w:pPr>
              <w:spacing w:after="0" w:line="240" w:lineRule="auto"/>
            </w:pPr>
            <w:r>
              <w:rPr>
                <w:rFonts w:ascii="Arial" w:hAnsi="Arial" w:cs="Arial"/>
              </w:rPr>
              <w:t>Literacy Log</w:t>
            </w:r>
          </w:p>
        </w:tc>
        <w:tc>
          <w:tcPr>
            <w:tcW w:w="7123" w:type="dxa"/>
          </w:tcPr>
          <w:p w:rsidR="00E71354" w:rsidRDefault="00E71354" w:rsidP="00E71354">
            <w:pPr>
              <w:pStyle w:val="NormalWeb"/>
              <w:spacing w:before="0" w:beforeAutospacing="0" w:after="0" w:afterAutospacing="0"/>
            </w:pPr>
            <w:r>
              <w:rPr>
                <w:rFonts w:ascii="Arial" w:hAnsi="Arial" w:cs="Arial"/>
              </w:rPr>
              <w:t xml:space="preserve"> As students implement selected strategies described in the course or in the web links provided, students will select the strategies that best serve theirs and their students’ needs. Students will use these strategies and begin to implement them in the classroom and share with other faculty members at their school/class.   They will describe how they will adapt teaching strategies to meet their students’ needs (e.g., ESOL students, struggling readers) and the evidence they will use to assess its effectiveness. </w:t>
            </w:r>
          </w:p>
          <w:p w:rsidR="00E71354" w:rsidRPr="009D1B1F" w:rsidRDefault="00E71354" w:rsidP="00E71354">
            <w:pPr>
              <w:spacing w:after="0" w:line="240" w:lineRule="auto"/>
            </w:pPr>
          </w:p>
        </w:tc>
      </w:tr>
    </w:tbl>
    <w:p w:rsidR="005A61B5" w:rsidRDefault="005A61B5"/>
    <w:sectPr w:rsidR="005A61B5" w:rsidSect="00C010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FJLOI+TimesNewRoman,BoldItalic">
    <w:altName w:val="Times New Roman"/>
    <w:panose1 w:val="00000000000000000000"/>
    <w:charset w:val="00"/>
    <w:family w:val="roman"/>
    <w:notTrueType/>
    <w:pitch w:val="default"/>
    <w:sig w:usb0="00000003" w:usb1="00000000" w:usb2="00000000" w:usb3="00000000" w:csb0="00000001" w:csb1="00000000"/>
  </w:font>
  <w:font w:name="BFJJBO+TimesNewRoman,Italic">
    <w:altName w:val="Times New Roman"/>
    <w:panose1 w:val="00000000000000000000"/>
    <w:charset w:val="00"/>
    <w:family w:val="roman"/>
    <w:notTrueType/>
    <w:pitch w:val="default"/>
    <w:sig w:usb0="00000003" w:usb1="00000000" w:usb2="00000000" w:usb3="00000000" w:csb0="00000001" w:csb1="00000000"/>
  </w:font>
  <w:font w:name="BFJHMF+TimesNewRoman,Bold">
    <w:altName w:val="Times New Roman"/>
    <w:panose1 w:val="00000000000000000000"/>
    <w:charset w:val="00"/>
    <w:family w:val="roman"/>
    <w:notTrueType/>
    <w:pitch w:val="default"/>
    <w:sig w:usb0="00000003" w:usb1="00000000" w:usb2="00000000" w:usb3="00000000" w:csb0="00000001" w:csb1="00000000"/>
  </w:font>
  <w:font w:name="BFJIGH+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3E00"/>
    <w:multiLevelType w:val="hybridMultilevel"/>
    <w:tmpl w:val="C0E0049C"/>
    <w:lvl w:ilvl="0" w:tplc="312AA34C">
      <w:start w:val="1"/>
      <w:numFmt w:val="decimal"/>
      <w:lvlText w:val="%1."/>
      <w:lvlJc w:val="left"/>
      <w:pPr>
        <w:tabs>
          <w:tab w:val="num" w:pos="720"/>
        </w:tabs>
        <w:ind w:left="720" w:hanging="360"/>
      </w:pPr>
      <w:rPr>
        <w:rFonts w:ascii="Arial" w:eastAsia="Times New Roman" w:hAnsi="Arial" w:cs="Arial"/>
      </w:rPr>
    </w:lvl>
    <w:lvl w:ilvl="1" w:tplc="1F16E282" w:tentative="1">
      <w:start w:val="1"/>
      <w:numFmt w:val="decimal"/>
      <w:lvlText w:val="%2."/>
      <w:lvlJc w:val="left"/>
      <w:pPr>
        <w:tabs>
          <w:tab w:val="num" w:pos="1440"/>
        </w:tabs>
        <w:ind w:left="1440" w:hanging="360"/>
      </w:pPr>
    </w:lvl>
    <w:lvl w:ilvl="2" w:tplc="3D8C8D70" w:tentative="1">
      <w:start w:val="1"/>
      <w:numFmt w:val="decimal"/>
      <w:lvlText w:val="%3."/>
      <w:lvlJc w:val="left"/>
      <w:pPr>
        <w:tabs>
          <w:tab w:val="num" w:pos="2160"/>
        </w:tabs>
        <w:ind w:left="2160" w:hanging="360"/>
      </w:pPr>
    </w:lvl>
    <w:lvl w:ilvl="3" w:tplc="86B8B0CC" w:tentative="1">
      <w:start w:val="1"/>
      <w:numFmt w:val="decimal"/>
      <w:lvlText w:val="%4."/>
      <w:lvlJc w:val="left"/>
      <w:pPr>
        <w:tabs>
          <w:tab w:val="num" w:pos="2880"/>
        </w:tabs>
        <w:ind w:left="2880" w:hanging="360"/>
      </w:pPr>
    </w:lvl>
    <w:lvl w:ilvl="4" w:tplc="EE585AA0" w:tentative="1">
      <w:start w:val="1"/>
      <w:numFmt w:val="decimal"/>
      <w:lvlText w:val="%5."/>
      <w:lvlJc w:val="left"/>
      <w:pPr>
        <w:tabs>
          <w:tab w:val="num" w:pos="3600"/>
        </w:tabs>
        <w:ind w:left="3600" w:hanging="360"/>
      </w:pPr>
    </w:lvl>
    <w:lvl w:ilvl="5" w:tplc="3FC4CD84" w:tentative="1">
      <w:start w:val="1"/>
      <w:numFmt w:val="decimal"/>
      <w:lvlText w:val="%6."/>
      <w:lvlJc w:val="left"/>
      <w:pPr>
        <w:tabs>
          <w:tab w:val="num" w:pos="4320"/>
        </w:tabs>
        <w:ind w:left="4320" w:hanging="360"/>
      </w:pPr>
    </w:lvl>
    <w:lvl w:ilvl="6" w:tplc="B8922F0E" w:tentative="1">
      <w:start w:val="1"/>
      <w:numFmt w:val="decimal"/>
      <w:lvlText w:val="%7."/>
      <w:lvlJc w:val="left"/>
      <w:pPr>
        <w:tabs>
          <w:tab w:val="num" w:pos="5040"/>
        </w:tabs>
        <w:ind w:left="5040" w:hanging="360"/>
      </w:pPr>
    </w:lvl>
    <w:lvl w:ilvl="7" w:tplc="73B42E32" w:tentative="1">
      <w:start w:val="1"/>
      <w:numFmt w:val="decimal"/>
      <w:lvlText w:val="%8."/>
      <w:lvlJc w:val="left"/>
      <w:pPr>
        <w:tabs>
          <w:tab w:val="num" w:pos="5760"/>
        </w:tabs>
        <w:ind w:left="5760" w:hanging="360"/>
      </w:pPr>
    </w:lvl>
    <w:lvl w:ilvl="8" w:tplc="9E4C3700" w:tentative="1">
      <w:start w:val="1"/>
      <w:numFmt w:val="decimal"/>
      <w:lvlText w:val="%9."/>
      <w:lvlJc w:val="left"/>
      <w:pPr>
        <w:tabs>
          <w:tab w:val="num" w:pos="6480"/>
        </w:tabs>
        <w:ind w:left="6480" w:hanging="360"/>
      </w:pPr>
    </w:lvl>
  </w:abstractNum>
  <w:abstractNum w:abstractNumId="1">
    <w:nsid w:val="5C6C770F"/>
    <w:multiLevelType w:val="hybridMultilevel"/>
    <w:tmpl w:val="0BB0C45E"/>
    <w:lvl w:ilvl="0" w:tplc="EB409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92"/>
    <w:rsid w:val="00073594"/>
    <w:rsid w:val="00097A97"/>
    <w:rsid w:val="000E3F96"/>
    <w:rsid w:val="00130566"/>
    <w:rsid w:val="00177269"/>
    <w:rsid w:val="001D61E0"/>
    <w:rsid w:val="00202F6C"/>
    <w:rsid w:val="002510BA"/>
    <w:rsid w:val="002D3EC4"/>
    <w:rsid w:val="00301B92"/>
    <w:rsid w:val="003C4855"/>
    <w:rsid w:val="004C6FCF"/>
    <w:rsid w:val="005619B4"/>
    <w:rsid w:val="005A61B5"/>
    <w:rsid w:val="00611C45"/>
    <w:rsid w:val="006369C2"/>
    <w:rsid w:val="00664076"/>
    <w:rsid w:val="006E4E48"/>
    <w:rsid w:val="006F3859"/>
    <w:rsid w:val="00793CE9"/>
    <w:rsid w:val="008B69A0"/>
    <w:rsid w:val="00943F63"/>
    <w:rsid w:val="009D1B1F"/>
    <w:rsid w:val="009D6155"/>
    <w:rsid w:val="00A34D7A"/>
    <w:rsid w:val="00A613D2"/>
    <w:rsid w:val="00AA5739"/>
    <w:rsid w:val="00AC50DD"/>
    <w:rsid w:val="00B708D8"/>
    <w:rsid w:val="00BE331A"/>
    <w:rsid w:val="00C010F5"/>
    <w:rsid w:val="00C24523"/>
    <w:rsid w:val="00CC6DA6"/>
    <w:rsid w:val="00E41B65"/>
    <w:rsid w:val="00E52C8A"/>
    <w:rsid w:val="00E71354"/>
    <w:rsid w:val="00F07D77"/>
    <w:rsid w:val="00F174A2"/>
    <w:rsid w:val="00FB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B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619B4"/>
    <w:pPr>
      <w:autoSpaceDE w:val="0"/>
      <w:autoSpaceDN w:val="0"/>
      <w:adjustRightInd w:val="0"/>
    </w:pPr>
    <w:rPr>
      <w:rFonts w:ascii="Times New Roman" w:hAnsi="Times New Roman"/>
      <w:color w:val="000000"/>
      <w:sz w:val="24"/>
      <w:szCs w:val="24"/>
    </w:rPr>
  </w:style>
  <w:style w:type="paragraph" w:styleId="NormalWeb">
    <w:name w:val="Normal (Web)"/>
    <w:basedOn w:val="Normal"/>
    <w:rsid w:val="00611C45"/>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B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619B4"/>
    <w:pPr>
      <w:autoSpaceDE w:val="0"/>
      <w:autoSpaceDN w:val="0"/>
      <w:adjustRightInd w:val="0"/>
    </w:pPr>
    <w:rPr>
      <w:rFonts w:ascii="Times New Roman" w:hAnsi="Times New Roman"/>
      <w:color w:val="000000"/>
      <w:sz w:val="24"/>
      <w:szCs w:val="24"/>
    </w:rPr>
  </w:style>
  <w:style w:type="paragraph" w:styleId="NormalWeb">
    <w:name w:val="Normal (Web)"/>
    <w:basedOn w:val="Normal"/>
    <w:rsid w:val="00611C45"/>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 Finn</dc:creator>
  <cp:lastModifiedBy>Dr. Lois Christensen</cp:lastModifiedBy>
  <cp:revision>2</cp:revision>
  <dcterms:created xsi:type="dcterms:W3CDTF">2012-12-10T21:36:00Z</dcterms:created>
  <dcterms:modified xsi:type="dcterms:W3CDTF">2012-12-10T21:36:00Z</dcterms:modified>
</cp:coreProperties>
</file>