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r w:rsidRPr="00C523A5">
        <w:rPr>
          <w:b/>
          <w:sz w:val="28"/>
        </w:rPr>
        <w:t xml:space="preserve">MHS  </w:t>
      </w:r>
      <w:r w:rsidR="008438B1" w:rsidRPr="00C523A5">
        <w:rPr>
          <w:b/>
          <w:sz w:val="28"/>
        </w:rPr>
        <w:t>6</w:t>
      </w:r>
      <w:r w:rsidR="00C5446D">
        <w:rPr>
          <w:b/>
          <w:sz w:val="28"/>
        </w:rPr>
        <w:t>805 Advanced</w:t>
      </w:r>
      <w:r w:rsidR="000C2BA5">
        <w:rPr>
          <w:b/>
          <w:sz w:val="28"/>
        </w:rPr>
        <w:t xml:space="preserve"> Practicum </w:t>
      </w:r>
      <w:r w:rsidR="00C5446D">
        <w:rPr>
          <w:b/>
          <w:sz w:val="28"/>
        </w:rPr>
        <w:t>in Counseling</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tblPr>
      <w:tblGrid>
        <w:gridCol w:w="9405"/>
        <w:gridCol w:w="45"/>
      </w:tblGrid>
      <w:tr w:rsidR="00D10A4E" w:rsidTr="00D10A4E">
        <w:trPr>
          <w:gridAfter w:val="1"/>
          <w:tblCellSpacing w:w="15" w:type="dxa"/>
        </w:trPr>
        <w:tc>
          <w:tcPr>
            <w:tcW w:w="0" w:type="auto"/>
            <w:vAlign w:val="center"/>
            <w:hideMark/>
          </w:tcPr>
          <w:p w:rsidR="00D10A4E" w:rsidRPr="000C2BA5" w:rsidRDefault="00C5446D">
            <w:pPr>
              <w:rPr>
                <w:b/>
                <w:sz w:val="24"/>
                <w:szCs w:val="24"/>
              </w:rPr>
            </w:pPr>
            <w:r>
              <w:t>Advanced practice course in the application of specific counseling skills that require an integration of basic helping skills, counseling theory, and assessment of counselee needs.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0C2BA5"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4F6423"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b/>
          <w:color w:val="800000"/>
          <w:sz w:val="22"/>
        </w:rPr>
        <w:t xml:space="preserve">(Same text as Practicum Class; no additional texts) </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6"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0C2BA5" w:rsidRPr="0066514D" w:rsidRDefault="000C2BA5" w:rsidP="000C2BA5">
      <w:pPr>
        <w:numPr>
          <w:ilvl w:val="1"/>
          <w:numId w:val="10"/>
        </w:numPr>
        <w:spacing w:after="0" w:line="215" w:lineRule="auto"/>
        <w:rPr>
          <w:rFonts w:ascii="Tahoma" w:hAnsi="Tahoma"/>
          <w:bCs/>
          <w:i/>
          <w:iCs/>
        </w:rPr>
      </w:pPr>
      <w:r w:rsidRPr="0062288D">
        <w:rPr>
          <w:rFonts w:ascii="Tahoma" w:hAnsi="Tahoma"/>
          <w:b/>
          <w:bCs/>
        </w:rPr>
        <w:lastRenderedPageBreak/>
        <w:t>Required Hours</w:t>
      </w:r>
      <w:r w:rsidRPr="0062288D">
        <w:rPr>
          <w:rFonts w:ascii="Tahoma" w:hAnsi="Tahoma"/>
          <w:bCs/>
        </w:rPr>
        <w:t xml:space="preserve">: To meet the practicum requirements, you will need to complete </w:t>
      </w:r>
      <w:r w:rsidRPr="0062288D">
        <w:rPr>
          <w:rFonts w:ascii="Tahoma" w:hAnsi="Tahoma"/>
          <w:b/>
          <w:bCs/>
        </w:rPr>
        <w:t>50 hours total</w:t>
      </w:r>
      <w:r>
        <w:rPr>
          <w:rFonts w:ascii="Tahoma" w:hAnsi="Tahoma"/>
          <w:b/>
          <w:bCs/>
        </w:rPr>
        <w:t xml:space="preserve"> of counseling related activities</w:t>
      </w:r>
      <w:r w:rsidRPr="0062288D">
        <w:rPr>
          <w:rFonts w:ascii="Tahoma" w:hAnsi="Tahoma"/>
          <w:bCs/>
        </w:rPr>
        <w:t xml:space="preserve">; 20 of these </w:t>
      </w:r>
      <w:r>
        <w:rPr>
          <w:rFonts w:ascii="Tahoma" w:hAnsi="Tahoma"/>
          <w:bCs/>
        </w:rPr>
        <w:t xml:space="preserve">hours </w:t>
      </w:r>
      <w:r w:rsidRPr="0062288D">
        <w:rPr>
          <w:rFonts w:ascii="Tahoma" w:hAnsi="Tahoma"/>
          <w:bCs/>
        </w:rPr>
        <w:t xml:space="preserve">will be what are called direct hours and 30 will be indirect hours.  </w:t>
      </w:r>
      <w:r w:rsidRPr="00325395">
        <w:rPr>
          <w:rFonts w:ascii="Tahoma" w:hAnsi="Tahoma"/>
          <w:bCs/>
        </w:rPr>
        <w:t xml:space="preserve">Students are required to log </w:t>
      </w:r>
      <w:r w:rsidRPr="00325395">
        <w:rPr>
          <w:rFonts w:ascii="Tahoma" w:hAnsi="Tahoma"/>
          <w:b/>
          <w:bCs/>
        </w:rPr>
        <w:t xml:space="preserve">20 hours </w:t>
      </w:r>
      <w:r w:rsidRPr="00881F84">
        <w:rPr>
          <w:rFonts w:ascii="Tahoma" w:hAnsi="Tahoma"/>
          <w:b/>
          <w:bCs/>
        </w:rPr>
        <w:t>of face-to-face counseling contact.</w:t>
      </w:r>
      <w:r>
        <w:rPr>
          <w:rFonts w:ascii="Tahoma" w:hAnsi="Tahoma"/>
          <w:b/>
          <w:bCs/>
        </w:rPr>
        <w:t xml:space="preserve"> </w:t>
      </w:r>
      <w:r w:rsidRPr="00325395">
        <w:rPr>
          <w:rFonts w:ascii="Tahoma" w:hAnsi="Tahoma"/>
          <w:bCs/>
        </w:rPr>
        <w:t xml:space="preserve">This means you will have to do the equivalent of </w:t>
      </w:r>
      <w:r w:rsidRPr="00325395">
        <w:rPr>
          <w:rFonts w:ascii="Tahoma" w:hAnsi="Tahoma"/>
          <w:b/>
          <w:bCs/>
        </w:rPr>
        <w:t>20 hours of practice counseling</w:t>
      </w:r>
      <w:r>
        <w:rPr>
          <w:rFonts w:ascii="Tahoma" w:hAnsi="Tahoma"/>
          <w:b/>
          <w:bCs/>
        </w:rPr>
        <w:t xml:space="preserve"> for the semester. These are your direct hours. </w:t>
      </w:r>
      <w:r w:rsidRPr="0066514D">
        <w:rPr>
          <w:rFonts w:ascii="Tahoma" w:hAnsi="Tahoma"/>
          <w:bCs/>
        </w:rPr>
        <w:t>Of these</w:t>
      </w:r>
      <w:r w:rsidRPr="00325395">
        <w:rPr>
          <w:rFonts w:ascii="Tahoma" w:hAnsi="Tahoma"/>
          <w:bCs/>
        </w:rPr>
        <w:t>,</w:t>
      </w:r>
      <w:r>
        <w:rPr>
          <w:rFonts w:ascii="Tahoma" w:hAnsi="Tahoma"/>
          <w:bCs/>
        </w:rPr>
        <w:t xml:space="preserve"> you will</w:t>
      </w:r>
      <w:r w:rsidRPr="00325395">
        <w:rPr>
          <w:rFonts w:ascii="Tahoma" w:hAnsi="Tahoma"/>
          <w:bCs/>
        </w:rPr>
        <w:t xml:space="preserve"> record 5 sessions to submit for evaluation. </w:t>
      </w:r>
      <w:r>
        <w:rPr>
          <w:rFonts w:ascii="Tahoma" w:hAnsi="Tahoma"/>
          <w:bCs/>
        </w:rPr>
        <w:t xml:space="preserve">(Although, </w:t>
      </w:r>
      <w:r w:rsidRPr="00325395">
        <w:rPr>
          <w:rFonts w:ascii="Tahoma" w:hAnsi="Tahoma"/>
          <w:bCs/>
        </w:rPr>
        <w:t>I strongly urge that you record every session and review as many as you can.</w:t>
      </w:r>
      <w:r>
        <w:rPr>
          <w:rFonts w:ascii="Tahoma" w:hAnsi="Tahoma"/>
          <w:bCs/>
        </w:rPr>
        <w:t xml:space="preserve">) </w:t>
      </w:r>
      <w:r w:rsidRPr="00325395">
        <w:rPr>
          <w:rFonts w:ascii="Tahoma" w:hAnsi="Tahoma"/>
          <w:bCs/>
        </w:rPr>
        <w:t xml:space="preserve"> </w:t>
      </w:r>
      <w:r>
        <w:rPr>
          <w:rFonts w:ascii="Tahoma" w:hAnsi="Tahoma"/>
          <w:bCs/>
        </w:rPr>
        <w:t xml:space="preserve">This requirement means you will do nearly </w:t>
      </w:r>
      <w:r w:rsidRPr="00325395">
        <w:rPr>
          <w:rFonts w:ascii="Tahoma" w:hAnsi="Tahoma"/>
          <w:b/>
          <w:bCs/>
        </w:rPr>
        <w:t>two (2) counseling hours each week</w:t>
      </w:r>
      <w:r>
        <w:rPr>
          <w:rFonts w:ascii="Tahoma" w:hAnsi="Tahoma"/>
          <w:bCs/>
        </w:rPr>
        <w:t>, once the semester gets rolling.  Please plan for this. A session should run between 45 and 50 minutes.</w:t>
      </w:r>
    </w:p>
    <w:p w:rsidR="000C2BA5" w:rsidRPr="0066514D" w:rsidRDefault="000C2BA5" w:rsidP="000C2BA5">
      <w:pPr>
        <w:spacing w:line="215" w:lineRule="auto"/>
        <w:rPr>
          <w:rFonts w:ascii="Tahoma" w:hAnsi="Tahoma"/>
          <w:bCs/>
          <w:iCs/>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b/>
          <w:color w:val="000000"/>
          <w:sz w:val="22"/>
        </w:rPr>
      </w:pPr>
      <w:r>
        <w:rPr>
          <w:rFonts w:ascii="Tahoma" w:hAnsi="Tahoma"/>
          <w:b/>
          <w:color w:val="000000"/>
          <w:sz w:val="22"/>
        </w:rPr>
        <w:t xml:space="preserve">Recordings: </w:t>
      </w:r>
      <w:r>
        <w:rPr>
          <w:rFonts w:ascii="Tahoma" w:hAnsi="Tahoma"/>
          <w:color w:val="000000"/>
          <w:sz w:val="22"/>
        </w:rPr>
        <w:t xml:space="preserve">Every student will be responsible for recording no less than 20 hours (approximately 3-4 clients x 5-7 meetings) of meeting time with your clients. Evaluation criteria and additional details will be provided. You should have prepared four recordings per week to (a) overview in class; (b) overview with your individual supervisor; c) </w:t>
      </w:r>
      <w:proofErr w:type="gramStart"/>
      <w:r>
        <w:rPr>
          <w:rFonts w:ascii="Tahoma" w:hAnsi="Tahoma"/>
          <w:color w:val="000000"/>
          <w:sz w:val="22"/>
        </w:rPr>
        <w:t>submit</w:t>
      </w:r>
      <w:proofErr w:type="gramEnd"/>
      <w:r>
        <w:rPr>
          <w:rFonts w:ascii="Tahoma" w:hAnsi="Tahoma"/>
          <w:color w:val="000000"/>
          <w:sz w:val="22"/>
        </w:rPr>
        <w:t xml:space="preserve"> to your individual supervisor for review and feedback; and/or (d) submit to your instructor for review and feedback.  These taped hours should include extended sessions with 3-4 clients who are seen at least 5-7 times each.  (Sessions may be 30 to 60 minutes in duration as you see fit).</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Hours.</w:t>
      </w:r>
      <w:r>
        <w:rPr>
          <w:rFonts w:ascii="Tahoma" w:hAnsi="Tahoma"/>
          <w:color w:val="000000"/>
          <w:sz w:val="22"/>
        </w:rPr>
        <w:t xml:space="preserve"> Participate in 50 </w:t>
      </w:r>
      <w:r>
        <w:rPr>
          <w:rFonts w:ascii="Tahoma" w:hAnsi="Tahoma"/>
          <w:color w:val="000000"/>
          <w:sz w:val="22"/>
          <w:u w:val="single"/>
        </w:rPr>
        <w:t>total</w:t>
      </w:r>
      <w:r>
        <w:rPr>
          <w:rFonts w:ascii="Tahoma" w:hAnsi="Tahoma"/>
          <w:color w:val="000000"/>
          <w:sz w:val="22"/>
        </w:rPr>
        <w:t xml:space="preserve"> practicum hours that include a minimum </w:t>
      </w:r>
      <w:r>
        <w:rPr>
          <w:rFonts w:ascii="Tahoma" w:hAnsi="Tahoma"/>
          <w:b/>
          <w:color w:val="000000"/>
          <w:sz w:val="22"/>
        </w:rPr>
        <w:t>of 20 direct contact hours.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Supervision</w:t>
      </w:r>
      <w:r>
        <w:rPr>
          <w:rFonts w:ascii="Tahoma" w:hAnsi="Tahoma"/>
          <w:color w:val="000000"/>
          <w:sz w:val="22"/>
        </w:rPr>
        <w:t>. Schedule and complete weekly individual counseling supervision with campus supervisor. The goals of supervision include (although are not limited to) helping the student counselor:</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Develop basic (solution focused) interviewing/counseling skills.</w:t>
      </w: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Experience encouragement and empowerment.</w:t>
      </w: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Develop counseling processes such as conceptualizing cases, defining priorities, and developing change strategies.</w:t>
      </w: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Clarify his/her interpersonal style and define assets and limitations.</w:t>
      </w: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Recognize barriers to effective interviewing stemming from intrapersonal factors.</w:t>
      </w:r>
    </w:p>
    <w:p w:rsidR="00C5446D" w:rsidRDefault="00C5446D" w:rsidP="00C5446D">
      <w:pPr>
        <w:pStyle w:val="Level2"/>
        <w:widowControl/>
        <w:numPr>
          <w:ilvl w:val="1"/>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547" w:right="-820" w:firstLine="274"/>
        <w:rPr>
          <w:rFonts w:ascii="Tahoma" w:hAnsi="Tahoma"/>
          <w:color w:val="000000"/>
          <w:sz w:val="22"/>
        </w:rPr>
      </w:pPr>
      <w:r>
        <w:rPr>
          <w:rFonts w:ascii="Tahoma" w:hAnsi="Tahoma"/>
          <w:color w:val="000000"/>
          <w:sz w:val="22"/>
        </w:rPr>
        <w:tab/>
      </w:r>
      <w:r>
        <w:rPr>
          <w:rFonts w:ascii="Tahoma" w:hAnsi="Tahoma"/>
          <w:color w:val="000000"/>
          <w:sz w:val="22"/>
        </w:rPr>
        <w:tab/>
      </w:r>
      <w:r>
        <w:rPr>
          <w:rFonts w:ascii="Tahoma" w:hAnsi="Tahoma"/>
          <w:color w:val="000000"/>
          <w:sz w:val="22"/>
        </w:rPr>
        <w:tab/>
        <w:t>Increase repertoire of responses and variety of possible foci.</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Read and discuss </w:t>
      </w:r>
      <w:r>
        <w:rPr>
          <w:rFonts w:ascii="Tahoma" w:hAnsi="Tahoma"/>
          <w:color w:val="000000"/>
          <w:sz w:val="22"/>
        </w:rPr>
        <w:t>assigned articles and chapters.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lastRenderedPageBreak/>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w:t>
      </w:r>
      <w:bookmarkStart w:id="0" w:name="_GoBack"/>
      <w:bookmarkEnd w:id="0"/>
      <w:r w:rsidRPr="00C523A5">
        <w:rPr>
          <w:color w:val="000000"/>
        </w:rPr>
        <w:t xml:space="preserv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0" w:type="auto"/>
        <w:tblCellSpacing w:w="0" w:type="dxa"/>
        <w:tblCellMar>
          <w:top w:w="75" w:type="dxa"/>
          <w:left w:w="75" w:type="dxa"/>
          <w:bottom w:w="75" w:type="dxa"/>
          <w:right w:w="75" w:type="dxa"/>
        </w:tblCellMar>
        <w:tblLook w:val="04A0"/>
      </w:tblPr>
      <w:tblGrid>
        <w:gridCol w:w="3424"/>
        <w:gridCol w:w="6086"/>
      </w:tblGrid>
      <w:tr w:rsidR="00C5446D" w:rsidRPr="0053550D" w:rsidTr="00F40674">
        <w:trPr>
          <w:tblCellSpacing w:w="0" w:type="dxa"/>
        </w:trPr>
        <w:tc>
          <w:tcPr>
            <w:tcW w:w="0" w:type="auto"/>
            <w:shd w:val="clear" w:color="auto" w:fill="FFFFFF"/>
            <w:hideMark/>
          </w:tcPr>
          <w:p w:rsidR="00C5446D" w:rsidRPr="00D406F0" w:rsidRDefault="00C5446D" w:rsidP="00617352">
            <w:pPr>
              <w:spacing w:after="0" w:line="240" w:lineRule="auto"/>
              <w:rPr>
                <w:rFonts w:ascii="Verdana" w:eastAsia="Times New Roman" w:hAnsi="Verdana" w:cs="Times New Roman"/>
                <w:b/>
                <w:bCs/>
                <w:sz w:val="24"/>
                <w:szCs w:val="24"/>
              </w:rPr>
            </w:pPr>
            <w:r w:rsidRPr="00D406F0">
              <w:rPr>
                <w:rFonts w:ascii="Verdana" w:eastAsia="Times New Roman" w:hAnsi="Verdana" w:cs="Times New Roman"/>
                <w:b/>
                <w:bCs/>
                <w:sz w:val="24"/>
                <w:szCs w:val="24"/>
              </w:rPr>
              <w:t>FL-FEAP-2010.2.a.2.e </w:t>
            </w:r>
          </w:p>
        </w:tc>
        <w:tc>
          <w:tcPr>
            <w:tcW w:w="0" w:type="auto"/>
            <w:shd w:val="clear" w:color="auto" w:fill="FFFFFF"/>
            <w:vAlign w:val="center"/>
            <w:hideMark/>
          </w:tcPr>
          <w:p w:rsidR="00C5446D" w:rsidRPr="00D406F0" w:rsidRDefault="00C5446D" w:rsidP="00617352">
            <w:pPr>
              <w:spacing w:after="0" w:line="240" w:lineRule="auto"/>
              <w:rPr>
                <w:rFonts w:ascii="Verdana" w:eastAsia="Times New Roman" w:hAnsi="Verdana" w:cs="Times New Roman"/>
                <w:sz w:val="24"/>
                <w:szCs w:val="24"/>
              </w:rPr>
            </w:pPr>
            <w:r w:rsidRPr="00D406F0">
              <w:rPr>
                <w:rFonts w:ascii="Verdana" w:eastAsia="Times New Roman" w:hAnsi="Verdana" w:cs="Times New Roman"/>
                <w:sz w:val="24"/>
                <w:szCs w:val="24"/>
              </w:rPr>
              <w:t>Models clear, acceptable oral and written communication skills;</w:t>
            </w:r>
          </w:p>
        </w:tc>
      </w:tr>
      <w:tr w:rsidR="00C5446D" w:rsidRPr="00B61128" w:rsidTr="00341F4A">
        <w:trPr>
          <w:tblCellSpacing w:w="0" w:type="dxa"/>
        </w:trPr>
        <w:tc>
          <w:tcPr>
            <w:tcW w:w="0" w:type="auto"/>
            <w:shd w:val="clear" w:color="auto" w:fill="FFFFFF"/>
            <w:hideMark/>
          </w:tcPr>
          <w:p w:rsidR="00C5446D" w:rsidRPr="00D406F0" w:rsidRDefault="00C5446D" w:rsidP="00617352">
            <w:pPr>
              <w:spacing w:after="0" w:line="240" w:lineRule="auto"/>
              <w:rPr>
                <w:rFonts w:ascii="Verdana" w:eastAsia="Times New Roman" w:hAnsi="Verdana" w:cs="Times New Roman"/>
                <w:b/>
                <w:bCs/>
                <w:sz w:val="24"/>
                <w:szCs w:val="24"/>
              </w:rPr>
            </w:pPr>
            <w:r w:rsidRPr="00D406F0">
              <w:rPr>
                <w:rFonts w:ascii="Verdana" w:eastAsia="Times New Roman" w:hAnsi="Verdana" w:cs="Times New Roman"/>
                <w:b/>
                <w:bCs/>
                <w:sz w:val="24"/>
                <w:szCs w:val="24"/>
              </w:rPr>
              <w:t>FL-FEAP-2010.2.a.2.g </w:t>
            </w:r>
          </w:p>
        </w:tc>
        <w:tc>
          <w:tcPr>
            <w:tcW w:w="0" w:type="auto"/>
            <w:shd w:val="clear" w:color="auto" w:fill="FFFFFF"/>
            <w:vAlign w:val="center"/>
            <w:hideMark/>
          </w:tcPr>
          <w:p w:rsidR="00C5446D" w:rsidRPr="00D406F0" w:rsidRDefault="00C5446D" w:rsidP="00617352">
            <w:pPr>
              <w:spacing w:after="0" w:line="240" w:lineRule="auto"/>
              <w:rPr>
                <w:rFonts w:ascii="Verdana" w:eastAsia="Times New Roman" w:hAnsi="Verdana" w:cs="Times New Roman"/>
                <w:sz w:val="24"/>
                <w:szCs w:val="24"/>
              </w:rPr>
            </w:pPr>
            <w:r w:rsidRPr="00D406F0">
              <w:rPr>
                <w:rFonts w:ascii="Verdana" w:eastAsia="Times New Roman" w:hAnsi="Verdana" w:cs="Times New Roman"/>
                <w:sz w:val="24"/>
                <w:szCs w:val="24"/>
              </w:rPr>
              <w:t>Integrates current information and communication technologies;</w:t>
            </w:r>
          </w:p>
        </w:tc>
      </w:tr>
      <w:tr w:rsidR="00C5446D" w:rsidRPr="00B61128" w:rsidTr="00341F4A">
        <w:trPr>
          <w:tblCellSpacing w:w="0" w:type="dxa"/>
        </w:trPr>
        <w:tc>
          <w:tcPr>
            <w:tcW w:w="0" w:type="auto"/>
            <w:shd w:val="clear" w:color="auto" w:fill="FFFFFF"/>
            <w:hideMark/>
          </w:tcPr>
          <w:p w:rsidR="00C5446D" w:rsidRPr="00D406F0" w:rsidRDefault="00C5446D" w:rsidP="00617352">
            <w:pPr>
              <w:spacing w:after="0" w:line="240" w:lineRule="auto"/>
              <w:rPr>
                <w:rFonts w:ascii="Verdana" w:eastAsia="Times New Roman" w:hAnsi="Verdana" w:cs="Times New Roman"/>
                <w:b/>
                <w:bCs/>
                <w:sz w:val="24"/>
                <w:szCs w:val="24"/>
              </w:rPr>
            </w:pPr>
          </w:p>
        </w:tc>
        <w:tc>
          <w:tcPr>
            <w:tcW w:w="0" w:type="auto"/>
            <w:shd w:val="clear" w:color="auto" w:fill="FFFFFF"/>
            <w:vAlign w:val="center"/>
            <w:hideMark/>
          </w:tcPr>
          <w:p w:rsidR="00C5446D" w:rsidRPr="00D406F0" w:rsidRDefault="00C5446D" w:rsidP="00617352">
            <w:pPr>
              <w:spacing w:after="0" w:line="240" w:lineRule="auto"/>
              <w:rPr>
                <w:rFonts w:ascii="Verdana" w:eastAsia="Times New Roman" w:hAnsi="Verdana" w:cs="Times New Roman"/>
                <w:sz w:val="24"/>
                <w:szCs w:val="24"/>
              </w:rPr>
            </w:pPr>
          </w:p>
        </w:tc>
      </w:tr>
      <w:tr w:rsidR="00C5446D" w:rsidRPr="00D406F0" w:rsidTr="00C5446D">
        <w:trPr>
          <w:tblCellSpacing w:w="0" w:type="dxa"/>
        </w:trPr>
        <w:tc>
          <w:tcPr>
            <w:tcW w:w="0" w:type="auto"/>
            <w:shd w:val="clear" w:color="auto" w:fill="FFFFFF"/>
            <w:hideMark/>
          </w:tcPr>
          <w:p w:rsidR="00C5446D" w:rsidRPr="00D406F0" w:rsidRDefault="00C5446D" w:rsidP="00617352">
            <w:pPr>
              <w:spacing w:after="0" w:line="240" w:lineRule="auto"/>
              <w:rPr>
                <w:rFonts w:ascii="Verdana" w:eastAsia="Times New Roman" w:hAnsi="Verdana" w:cs="Times New Roman"/>
                <w:b/>
                <w:bCs/>
                <w:sz w:val="24"/>
                <w:szCs w:val="24"/>
              </w:rPr>
            </w:pPr>
            <w:r w:rsidRPr="00D406F0">
              <w:rPr>
                <w:rFonts w:ascii="Verdana" w:eastAsia="Times New Roman" w:hAnsi="Verdana" w:cs="Times New Roman"/>
                <w:b/>
                <w:bCs/>
                <w:sz w:val="24"/>
                <w:szCs w:val="24"/>
              </w:rPr>
              <w:t>FL-FTCE-COMP-GUIDCOUNS-2012.1.7 </w:t>
            </w:r>
          </w:p>
        </w:tc>
        <w:tc>
          <w:tcPr>
            <w:tcW w:w="0" w:type="auto"/>
            <w:shd w:val="clear" w:color="auto" w:fill="FFFFFF"/>
            <w:vAlign w:val="center"/>
            <w:hideMark/>
          </w:tcPr>
          <w:p w:rsidR="00C5446D" w:rsidRPr="00D406F0" w:rsidRDefault="00C5446D" w:rsidP="00617352">
            <w:pPr>
              <w:spacing w:after="0" w:line="240" w:lineRule="auto"/>
              <w:rPr>
                <w:rFonts w:ascii="Verdana" w:eastAsia="Times New Roman" w:hAnsi="Verdana" w:cs="Times New Roman"/>
                <w:sz w:val="24"/>
                <w:szCs w:val="24"/>
              </w:rPr>
            </w:pPr>
            <w:r w:rsidRPr="00D406F0">
              <w:rPr>
                <w:rFonts w:ascii="Verdana" w:eastAsia="Times New Roman" w:hAnsi="Verdana" w:cs="Times New Roman"/>
                <w:sz w:val="24"/>
                <w:szCs w:val="24"/>
              </w:rPr>
              <w:t>Demonstrate knowledge of appropriate listening and responding skills with all stakeholders.</w:t>
            </w:r>
          </w:p>
        </w:tc>
      </w:tr>
      <w:tr w:rsidR="00C5446D" w:rsidRPr="00D406F0" w:rsidTr="00C5446D">
        <w:trPr>
          <w:tblCellSpacing w:w="0" w:type="dxa"/>
        </w:trPr>
        <w:tc>
          <w:tcPr>
            <w:tcW w:w="0" w:type="auto"/>
            <w:shd w:val="clear" w:color="auto" w:fill="FFFFFF"/>
            <w:hideMark/>
          </w:tcPr>
          <w:p w:rsidR="00C5446D" w:rsidRPr="00D406F0" w:rsidRDefault="00C5446D" w:rsidP="00617352">
            <w:pPr>
              <w:spacing w:after="0" w:line="240" w:lineRule="auto"/>
              <w:rPr>
                <w:rFonts w:ascii="Verdana" w:eastAsia="Times New Roman" w:hAnsi="Verdana" w:cs="Times New Roman"/>
                <w:b/>
                <w:bCs/>
                <w:sz w:val="24"/>
                <w:szCs w:val="24"/>
              </w:rPr>
            </w:pPr>
            <w:r w:rsidRPr="00D406F0">
              <w:rPr>
                <w:rFonts w:ascii="Verdana" w:eastAsia="Times New Roman" w:hAnsi="Verdana" w:cs="Times New Roman"/>
                <w:b/>
                <w:bCs/>
                <w:sz w:val="24"/>
                <w:szCs w:val="24"/>
              </w:rPr>
              <w:t>FL-FTCE-COMP-GUIDCOUNS-2012.1.8 </w:t>
            </w:r>
          </w:p>
        </w:tc>
        <w:tc>
          <w:tcPr>
            <w:tcW w:w="0" w:type="auto"/>
            <w:shd w:val="clear" w:color="auto" w:fill="FFFFFF"/>
            <w:vAlign w:val="center"/>
            <w:hideMark/>
          </w:tcPr>
          <w:p w:rsidR="00C5446D" w:rsidRPr="00D406F0" w:rsidRDefault="00C5446D" w:rsidP="00617352">
            <w:pPr>
              <w:spacing w:after="0" w:line="240" w:lineRule="auto"/>
              <w:rPr>
                <w:rFonts w:ascii="Verdana" w:eastAsia="Times New Roman" w:hAnsi="Verdana" w:cs="Times New Roman"/>
                <w:sz w:val="24"/>
                <w:szCs w:val="24"/>
              </w:rPr>
            </w:pPr>
            <w:r w:rsidRPr="00D406F0">
              <w:rPr>
                <w:rFonts w:ascii="Verdana" w:eastAsia="Times New Roman" w:hAnsi="Verdana" w:cs="Times New Roman"/>
                <w:sz w:val="24"/>
                <w:szCs w:val="24"/>
              </w:rPr>
              <w:t>Identify appropriate evidence-based counseling approaches for specific populations.</w:t>
            </w:r>
          </w:p>
        </w:tc>
      </w:tr>
    </w:tbl>
    <w:p w:rsidR="00C5446D" w:rsidRDefault="00C5446D">
      <w:pPr>
        <w:rPr>
          <w:b/>
          <w:sz w:val="24"/>
        </w:rPr>
      </w:pPr>
    </w:p>
    <w:p w:rsidR="00C523A5" w:rsidRDefault="00C523A5">
      <w:pPr>
        <w:rPr>
          <w:b/>
          <w:sz w:val="24"/>
        </w:rPr>
      </w:pPr>
      <w:r>
        <w:rPr>
          <w:b/>
          <w:sz w:val="24"/>
        </w:rPr>
        <w:t>FGCU’s School Counseling program is approved by the Florida Department of Education</w:t>
      </w:r>
    </w:p>
    <w:p w:rsidR="006C7032" w:rsidRPr="00C523A5" w:rsidRDefault="00C523A5">
      <w:pPr>
        <w:rPr>
          <w:b/>
          <w:sz w:val="24"/>
        </w:rPr>
      </w:pPr>
      <w:r>
        <w:rPr>
          <w:b/>
          <w:sz w:val="24"/>
        </w:rPr>
        <w:t xml:space="preserve">College </w:t>
      </w:r>
      <w:r w:rsidR="00777D7A" w:rsidRPr="00C523A5">
        <w:rPr>
          <w:b/>
          <w:sz w:val="24"/>
        </w:rPr>
        <w:t>and University Competencies</w:t>
      </w:r>
    </w:p>
    <w:p w:rsidR="00211C90" w:rsidRPr="00C523A5" w:rsidRDefault="00211C90">
      <w:pPr>
        <w:rPr>
          <w:b/>
          <w:sz w:val="24"/>
        </w:rPr>
      </w:pPr>
      <w:r w:rsidRPr="00C523A5">
        <w:rPr>
          <w:b/>
          <w:sz w:val="24"/>
        </w:rPr>
        <w:t>CACREP Standards Matrix</w:t>
      </w:r>
    </w:p>
    <w:tbl>
      <w:tblPr>
        <w:tblW w:w="10260" w:type="dxa"/>
        <w:tblInd w:w="90" w:type="dxa"/>
        <w:tblLook w:val="04A0"/>
      </w:tblPr>
      <w:tblGrid>
        <w:gridCol w:w="3260"/>
        <w:gridCol w:w="2520"/>
        <w:gridCol w:w="4480"/>
      </w:tblGrid>
      <w:tr w:rsidR="000C2BA5" w:rsidRPr="00D10A4E" w:rsidTr="000C2BA5">
        <w:trPr>
          <w:trHeight w:val="1052"/>
        </w:trPr>
        <w:tc>
          <w:tcPr>
            <w:tcW w:w="3260" w:type="dxa"/>
            <w:tcBorders>
              <w:top w:val="single" w:sz="4" w:space="0" w:color="D0D7E5"/>
              <w:left w:val="single" w:sz="4" w:space="0" w:color="D0D7E5"/>
              <w:bottom w:val="single" w:sz="4" w:space="0" w:color="D0D7E5"/>
              <w:right w:val="single" w:sz="4" w:space="0" w:color="D0D7E5"/>
            </w:tcBorders>
            <w:shd w:val="clear" w:color="000000" w:fill="F2F2F2"/>
            <w:hideMark/>
          </w:tcPr>
          <w:p w:rsidR="000C2BA5" w:rsidRPr="000C2BA5" w:rsidRDefault="000C2BA5" w:rsidP="000C2BA5">
            <w:pPr>
              <w:spacing w:after="0" w:line="240" w:lineRule="auto"/>
              <w:rPr>
                <w:rFonts w:eastAsia="Times New Roman" w:cs="Times New Roman"/>
                <w:b/>
                <w:bCs/>
                <w:szCs w:val="24"/>
              </w:rPr>
            </w:pPr>
            <w:r w:rsidRPr="000C2BA5">
              <w:rPr>
                <w:rFonts w:eastAsia="Times New Roman" w:cs="Times New Roman"/>
                <w:b/>
                <w:bCs/>
                <w:szCs w:val="24"/>
              </w:rPr>
              <w:t>CACREP-2009.2.G.5.c </w:t>
            </w:r>
          </w:p>
        </w:tc>
        <w:tc>
          <w:tcPr>
            <w:tcW w:w="2520" w:type="dxa"/>
            <w:tcBorders>
              <w:top w:val="single" w:sz="4" w:space="0" w:color="D0D7E5"/>
              <w:left w:val="nil"/>
              <w:bottom w:val="single" w:sz="4" w:space="0" w:color="D0D7E5"/>
              <w:right w:val="single" w:sz="4" w:space="0" w:color="D0D7E5"/>
            </w:tcBorders>
            <w:shd w:val="clear" w:color="000000" w:fill="F2F2F2"/>
            <w:hideMark/>
          </w:tcPr>
          <w:p w:rsidR="000C2BA5" w:rsidRPr="000C2BA5" w:rsidRDefault="000C2BA5" w:rsidP="000C2BA5">
            <w:pPr>
              <w:spacing w:after="0" w:line="240" w:lineRule="auto"/>
              <w:rPr>
                <w:rFonts w:eastAsia="Times New Roman" w:cs="Times New Roman"/>
                <w:szCs w:val="24"/>
              </w:rPr>
            </w:pPr>
            <w:r w:rsidRPr="000C2BA5">
              <w:rPr>
                <w:rFonts w:eastAsia="Times New Roman" w:cs="Times New Roman"/>
                <w:szCs w:val="24"/>
              </w:rPr>
              <w:t>essential interviewing and counseling skills;</w:t>
            </w:r>
          </w:p>
        </w:tc>
        <w:tc>
          <w:tcPr>
            <w:tcW w:w="448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0C2BA5" w:rsidRPr="000C2BA5" w:rsidRDefault="000C2BA5" w:rsidP="000C2BA5">
            <w:pPr>
              <w:shd w:val="clear" w:color="auto" w:fill="FFFFFF"/>
              <w:spacing w:before="100" w:beforeAutospacing="1" w:after="100" w:afterAutospacing="1" w:line="240" w:lineRule="auto"/>
              <w:rPr>
                <w:rFonts w:eastAsia="Times New Roman" w:cs="Arial"/>
                <w:color w:val="000000"/>
                <w:sz w:val="20"/>
                <w:szCs w:val="24"/>
              </w:rPr>
            </w:pPr>
            <w:r w:rsidRPr="000C2BA5">
              <w:rPr>
                <w:rFonts w:eastAsia="Times New Roman" w:cs="Arial"/>
                <w:color w:val="000000"/>
                <w:sz w:val="20"/>
                <w:szCs w:val="24"/>
              </w:rPr>
              <w:t>Students demonstrate knowledge of counseling theories through performance on a series of quizzes and exams, and recorded counseling sessions.  </w:t>
            </w:r>
          </w:p>
          <w:p w:rsidR="000C2BA5" w:rsidRPr="00D10A4E" w:rsidRDefault="000C2BA5" w:rsidP="00D10A4E">
            <w:pPr>
              <w:spacing w:after="0" w:line="240" w:lineRule="auto"/>
              <w:rPr>
                <w:rFonts w:ascii="Calibri" w:eastAsia="Times New Roman" w:hAnsi="Calibri" w:cs="Times New Roman"/>
                <w:color w:val="000000"/>
                <w:sz w:val="20"/>
                <w:szCs w:val="20"/>
              </w:rPr>
            </w:pP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lastRenderedPageBreak/>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20"/>
  <w:characterSpacingControl w:val="doNotCompress"/>
  <w:compat/>
  <w:rsids>
    <w:rsidRoot w:val="00800808"/>
    <w:rsid w:val="00040C9F"/>
    <w:rsid w:val="00052FF9"/>
    <w:rsid w:val="00093BFD"/>
    <w:rsid w:val="000C2BA5"/>
    <w:rsid w:val="000F04F7"/>
    <w:rsid w:val="00130610"/>
    <w:rsid w:val="00135E8E"/>
    <w:rsid w:val="001501FD"/>
    <w:rsid w:val="00202A30"/>
    <w:rsid w:val="00211C90"/>
    <w:rsid w:val="0022171B"/>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4364"/>
    <w:rsid w:val="005830EE"/>
    <w:rsid w:val="005C3255"/>
    <w:rsid w:val="005E680A"/>
    <w:rsid w:val="0062052E"/>
    <w:rsid w:val="00623E68"/>
    <w:rsid w:val="00627BBB"/>
    <w:rsid w:val="0065177A"/>
    <w:rsid w:val="006A4F94"/>
    <w:rsid w:val="006C1622"/>
    <w:rsid w:val="006C7032"/>
    <w:rsid w:val="00713E95"/>
    <w:rsid w:val="00752431"/>
    <w:rsid w:val="00777D7A"/>
    <w:rsid w:val="00800808"/>
    <w:rsid w:val="00825515"/>
    <w:rsid w:val="00836A06"/>
    <w:rsid w:val="008438B1"/>
    <w:rsid w:val="008641DA"/>
    <w:rsid w:val="0088369A"/>
    <w:rsid w:val="008C0308"/>
    <w:rsid w:val="0091105D"/>
    <w:rsid w:val="009228FC"/>
    <w:rsid w:val="009A2933"/>
    <w:rsid w:val="009B0D65"/>
    <w:rsid w:val="00A11277"/>
    <w:rsid w:val="00A123D6"/>
    <w:rsid w:val="00A31E18"/>
    <w:rsid w:val="00A55B78"/>
    <w:rsid w:val="00A65C76"/>
    <w:rsid w:val="00A7299C"/>
    <w:rsid w:val="00AC7487"/>
    <w:rsid w:val="00B27E3E"/>
    <w:rsid w:val="00B331C7"/>
    <w:rsid w:val="00BB44B3"/>
    <w:rsid w:val="00BC262C"/>
    <w:rsid w:val="00BC623B"/>
    <w:rsid w:val="00C523A5"/>
    <w:rsid w:val="00C5446D"/>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C6277"/>
    <w:rsid w:val="00EE0600"/>
    <w:rsid w:val="00F023E4"/>
    <w:rsid w:val="00F02574"/>
    <w:rsid w:val="00F04B6F"/>
    <w:rsid w:val="00F70D2D"/>
    <w:rsid w:val="00F7669C"/>
    <w:rsid w:val="00F80FAE"/>
    <w:rsid w:val="00FD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openxmlformats.org/officeDocument/2006/relationships/settings" Target="setting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Sendit.com"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2</cp:revision>
  <dcterms:created xsi:type="dcterms:W3CDTF">2013-02-21T03:40:00Z</dcterms:created>
  <dcterms:modified xsi:type="dcterms:W3CDTF">2013-02-21T03:40:00Z</dcterms:modified>
</cp:coreProperties>
</file>