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22" w:rsidRDefault="00490322" w:rsidP="00490322">
      <w:r>
        <w:t>Appendix IB2 Counseling Program Catalog Descriptions 2012-2013</w:t>
      </w:r>
      <w:r>
        <w:br/>
      </w:r>
      <w:hyperlink r:id="rId5" w:history="1">
        <w:r w:rsidRPr="00AA64CA">
          <w:rPr>
            <w:rStyle w:val="Hyperlink"/>
          </w:rPr>
          <w:t>http://www.fgcu.edu/Catalog/printcatalog.asp</w:t>
        </w:r>
      </w:hyperlink>
      <w:r>
        <w:t xml:space="preserve"> </w:t>
      </w:r>
    </w:p>
    <w:p w:rsidR="00490322" w:rsidRDefault="00490322" w:rsidP="00490322">
      <w:pPr>
        <w:pStyle w:val="Heading2"/>
        <w:pBdr>
          <w:bottom w:val="single" w:sz="12" w:space="0" w:color="8FA3BB"/>
        </w:pBdr>
        <w:shd w:val="clear" w:color="auto" w:fill="FFFFFF"/>
        <w:spacing w:after="75" w:afterAutospacing="0"/>
        <w:rPr>
          <w:rFonts w:ascii="Helvetica" w:hAnsi="Helvetica"/>
        </w:rPr>
      </w:pPr>
      <w:r>
        <w:rPr>
          <w:rFonts w:ascii="Helvetica" w:hAnsi="Helvetica"/>
        </w:rPr>
        <w:t>Mental Health Counseling (M.A.) 2012-2013 Catalog Year</w:t>
      </w:r>
    </w:p>
    <w:p w:rsidR="00490322" w:rsidRDefault="00490322" w:rsidP="00490322">
      <w:pPr>
        <w:pStyle w:val="Heading3"/>
        <w:shd w:val="clear" w:color="auto" w:fill="FFFFFF"/>
        <w:rPr>
          <w:rFonts w:ascii="Helvetica" w:hAnsi="Helvetica"/>
        </w:rPr>
      </w:pPr>
      <w:smartTag w:uri="urn:schemas-microsoft-com:office:smarttags" w:element="place">
        <w:smartTag w:uri="urn:schemas-microsoft-com:office:smarttags" w:element="PlaceType">
          <w:r>
            <w:rPr>
              <w:rFonts w:ascii="Helvetica" w:hAnsi="Helvetica"/>
            </w:rPr>
            <w:t>College</w:t>
          </w:r>
        </w:smartTag>
        <w:r>
          <w:rPr>
            <w:rFonts w:ascii="Helvetica" w:hAnsi="Helvetica"/>
          </w:rPr>
          <w:t xml:space="preserve"> of </w:t>
        </w:r>
        <w:smartTag w:uri="urn:schemas-microsoft-com:office:smarttags" w:element="PlaceName">
          <w:r>
            <w:rPr>
              <w:rFonts w:ascii="Helvetica" w:hAnsi="Helvetica"/>
            </w:rPr>
            <w:t>Education</w:t>
          </w:r>
        </w:smartTag>
      </w:smartTag>
    </w:p>
    <w:p w:rsidR="00490322" w:rsidRDefault="00490322" w:rsidP="00490322">
      <w:pPr>
        <w:shd w:val="clear" w:color="auto" w:fill="FFFFFF"/>
        <w:rPr>
          <w:rFonts w:ascii="Helvetica" w:hAnsi="Helvetica"/>
          <w:sz w:val="18"/>
          <w:szCs w:val="18"/>
        </w:rPr>
      </w:pPr>
      <w:hyperlink r:id="rId6" w:history="1">
        <w:r>
          <w:rPr>
            <w:rStyle w:val="Hyperlink"/>
            <w:sz w:val="17"/>
            <w:szCs w:val="17"/>
          </w:rPr>
          <w:t>http://coe.fgcu.edu/mentalhealthma/index.asp</w:t>
        </w:r>
      </w:hyperlink>
      <w:r>
        <w:rPr>
          <w:rFonts w:ascii="Helvetica" w:hAnsi="Helvetica"/>
          <w:sz w:val="18"/>
          <w:szCs w:val="18"/>
        </w:rPr>
        <w:t xml:space="preserve"> </w:t>
      </w:r>
    </w:p>
    <w:p w:rsidR="00490322" w:rsidRDefault="00490322" w:rsidP="00490322">
      <w:pPr>
        <w:shd w:val="clear" w:color="auto" w:fill="FFFFFF"/>
        <w:rPr>
          <w:rFonts w:ascii="Helvetica" w:hAnsi="Helvetica"/>
          <w:sz w:val="18"/>
          <w:szCs w:val="18"/>
        </w:rPr>
      </w:pPr>
      <w:hyperlink r:id="rId7" w:tgtFrame="_blank" w:history="1">
        <w:r>
          <w:rPr>
            <w:rFonts w:ascii="Verdana" w:hAnsi="Verdana"/>
            <w:noProof/>
            <w:color w:val="00287A"/>
            <w:sz w:val="18"/>
            <w:szCs w:val="18"/>
          </w:rPr>
          <w:drawing>
            <wp:inline distT="0" distB="0" distL="0" distR="0">
              <wp:extent cx="152400" cy="152400"/>
              <wp:effectExtent l="19050" t="0" r="0" b="0"/>
              <wp:docPr id="1" name="Picture 19" descr="http://www.fgcu.edu/icons/action_print.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gcu.edu/icons/action_print.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Hyperlink"/>
            <w:sz w:val="18"/>
            <w:szCs w:val="18"/>
          </w:rPr>
          <w:t>Print Program Details</w:t>
        </w:r>
      </w:hyperlink>
    </w:p>
    <w:p w:rsidR="00490322" w:rsidRPr="00E3097E" w:rsidRDefault="00490322" w:rsidP="00490322">
      <w:pPr>
        <w:pStyle w:val="NormalWeb"/>
        <w:shd w:val="clear" w:color="auto" w:fill="FFFFFF"/>
        <w:rPr>
          <w:rFonts w:ascii="Helvetica" w:hAnsi="Helvetica"/>
          <w:sz w:val="18"/>
          <w:szCs w:val="20"/>
        </w:rPr>
      </w:pPr>
      <w:r w:rsidRPr="00E3097E">
        <w:rPr>
          <w:rFonts w:ascii="Helvetica" w:hAnsi="Helvetica"/>
          <w:sz w:val="22"/>
        </w:rPr>
        <w:t xml:space="preserve">The Counseling program is CACREP accredited and offers an M.A. degree in Mental Health Counseling. Students take common coursework in the areas of human development, legal and ethical issues of the profession, career development, appraisal methods, counseling theories, </w:t>
      </w:r>
      <w:proofErr w:type="spellStart"/>
      <w:r w:rsidRPr="00E3097E">
        <w:rPr>
          <w:rFonts w:ascii="Helvetica" w:hAnsi="Helvetica"/>
          <w:sz w:val="22"/>
        </w:rPr>
        <w:t>groupwork</w:t>
      </w:r>
      <w:proofErr w:type="spellEnd"/>
      <w:r w:rsidRPr="00E3097E">
        <w:rPr>
          <w:rFonts w:ascii="Helvetica" w:hAnsi="Helvetica"/>
          <w:sz w:val="22"/>
        </w:rPr>
        <w:t>, practicum and research, and program evaluation. Additional specialized courses focusing on mental health counseling in areas such as internship, human sexuality, addictions, special populations, consultation, organization, administration and supervision, and professional development.  Students are engaged in field-based activities during almost every enrollment.</w:t>
      </w:r>
    </w:p>
    <w:p w:rsidR="00490322" w:rsidRDefault="00490322" w:rsidP="00490322">
      <w:pPr>
        <w:pStyle w:val="Heading5"/>
        <w:shd w:val="clear" w:color="auto" w:fill="FFFFFF"/>
        <w:rPr>
          <w:rFonts w:ascii="Helvetica" w:hAnsi="Helvetica"/>
        </w:rPr>
      </w:pPr>
      <w:r>
        <w:rPr>
          <w:rFonts w:ascii="Helvetica" w:hAnsi="Helvetica"/>
        </w:rPr>
        <w:t>Program Admission Requirements</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A four year undergraduate degree from a regionally accredited institution. </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Any one of the following: </w:t>
      </w:r>
    </w:p>
    <w:p w:rsidR="00490322" w:rsidRDefault="00490322" w:rsidP="00490322">
      <w:pPr>
        <w:numPr>
          <w:ilvl w:val="1"/>
          <w:numId w:val="1"/>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grade point average (GPA) of 3.0 or higher on a 4.0 scale for the last 60 semester hours attempted accruing to the undergraduate degree; or </w:t>
      </w:r>
    </w:p>
    <w:p w:rsidR="00490322" w:rsidRDefault="00490322" w:rsidP="00490322">
      <w:pPr>
        <w:numPr>
          <w:ilvl w:val="1"/>
          <w:numId w:val="1"/>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combined score of 1000 or higher on the quantitative and verbal sections of the GRE exam; or </w:t>
      </w:r>
    </w:p>
    <w:p w:rsidR="00490322" w:rsidRDefault="00490322" w:rsidP="00490322">
      <w:pPr>
        <w:numPr>
          <w:ilvl w:val="1"/>
          <w:numId w:val="1"/>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400 or higher on the MAT; or </w:t>
      </w:r>
    </w:p>
    <w:p w:rsidR="00490322" w:rsidRDefault="00490322" w:rsidP="00490322">
      <w:pPr>
        <w:numPr>
          <w:ilvl w:val="1"/>
          <w:numId w:val="1"/>
        </w:numPr>
        <w:shd w:val="clear" w:color="auto" w:fill="FFFFFF"/>
        <w:spacing w:before="100" w:beforeAutospacing="1" w:after="100" w:afterAutospacing="1" w:line="360" w:lineRule="atLeast"/>
        <w:ind w:left="2340"/>
        <w:rPr>
          <w:rFonts w:ascii="Helvetica" w:hAnsi="Helvetica"/>
          <w:sz w:val="18"/>
          <w:szCs w:val="18"/>
        </w:rPr>
      </w:pPr>
      <w:proofErr w:type="gramStart"/>
      <w:r>
        <w:rPr>
          <w:rFonts w:ascii="Helvetica" w:hAnsi="Helvetica"/>
          <w:sz w:val="18"/>
          <w:szCs w:val="18"/>
        </w:rPr>
        <w:t>a</w:t>
      </w:r>
      <w:proofErr w:type="gramEnd"/>
      <w:r>
        <w:rPr>
          <w:rFonts w:ascii="Helvetica" w:hAnsi="Helvetica"/>
          <w:sz w:val="18"/>
          <w:szCs w:val="18"/>
        </w:rPr>
        <w:t xml:space="preserve"> graduate degree from a regionally accredited institution. </w:t>
      </w:r>
      <w:r>
        <w:rPr>
          <w:rFonts w:ascii="Helvetica" w:hAnsi="Helvetica"/>
          <w:sz w:val="18"/>
          <w:szCs w:val="18"/>
        </w:rPr>
        <w:br/>
        <w:t xml:space="preserve">Note: All applicants must submit GPA and graduate admission (GRE or MAT) test scores regardless of which of the above criteria are met for admissions. </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Submission of three favorable recommendations from professionals in the field.</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Submission of a written statement of career goals.</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Participation in a personal interview.</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Performance in courses taken post baccalaureate will be taken into consideration for admission to the Mental Health Counseling Program.</w:t>
      </w:r>
    </w:p>
    <w:p w:rsidR="00490322" w:rsidRDefault="00490322" w:rsidP="00490322">
      <w:pPr>
        <w:numPr>
          <w:ilvl w:val="0"/>
          <w:numId w:val="1"/>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Counseling Criminal Record Policy Statement: All applicants are advised that in order to complete the program, they must complete internships.  Most internship facilities do background checks and will not permit the placement of counselor interns with criminal records.  The Department reserves the right to </w:t>
      </w:r>
      <w:r>
        <w:rPr>
          <w:rFonts w:ascii="Helvetica" w:hAnsi="Helvetica"/>
          <w:sz w:val="18"/>
          <w:szCs w:val="18"/>
        </w:rPr>
        <w:lastRenderedPageBreak/>
        <w:t>deny program admission to any applicant if it appears that applicant is unlikely to be able to complete the internship requirement due to a criminal record, thus inhibiting their ability to complete the program.</w:t>
      </w:r>
    </w:p>
    <w:p w:rsidR="00490322" w:rsidRDefault="00490322" w:rsidP="00490322">
      <w:pPr>
        <w:pStyle w:val="Heading5"/>
        <w:shd w:val="clear" w:color="auto" w:fill="FFFFFF"/>
        <w:rPr>
          <w:rFonts w:ascii="Helvetica" w:hAnsi="Helvetica"/>
          <w:sz w:val="21"/>
          <w:szCs w:val="21"/>
        </w:rPr>
      </w:pPr>
      <w:r>
        <w:rPr>
          <w:rFonts w:ascii="Helvetica" w:hAnsi="Helvetica"/>
        </w:rPr>
        <w:t>Program Requirements</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6021  Introduction to Community Mental Health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6482  Lifespan Development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6070  Mental Disorders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6200  Appraisal Procedures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6340  Career Development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6404  Introduction to Counseling Theory and Technique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6405  Advanced Counseling Theory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6428 Cross-Cultural Counseling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6450  Issues in Addictions and Abuse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6470 Human Sexuality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6500  Intro to Group Dynamics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6621 Organizations, Administration, and Supervision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6710  Research &amp; Program Evaluation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6700  Legal &amp; Ethical Issues for the Counseling Profession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6800  Practicum in Counseling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6805 Advanced Practicum in Counseling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6881  Clinical Internship I (2)</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6882  Clinical Internship II (2)</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6883  Clinical Internship III (3)</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6888  Clinical Internship and Professional Development Seminar in Mental Health Counseling (3-4)</w:t>
      </w:r>
    </w:p>
    <w:p w:rsidR="00490322" w:rsidRDefault="00490322" w:rsidP="00490322">
      <w:pPr>
        <w:numPr>
          <w:ilvl w:val="0"/>
          <w:numId w:val="2"/>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MHS 6886  Clinical Internship V (2)</w:t>
      </w:r>
    </w:p>
    <w:p w:rsidR="00490322" w:rsidRDefault="00490322" w:rsidP="00490322">
      <w:pPr>
        <w:shd w:val="clear" w:color="auto" w:fill="FFFFFF"/>
        <w:spacing w:after="0" w:line="240" w:lineRule="auto"/>
        <w:rPr>
          <w:rFonts w:ascii="Helvetica" w:hAnsi="Helvetica"/>
          <w:sz w:val="18"/>
          <w:szCs w:val="18"/>
        </w:rPr>
      </w:pPr>
    </w:p>
    <w:p w:rsidR="00490322" w:rsidRDefault="00490322" w:rsidP="00490322">
      <w:pPr>
        <w:pStyle w:val="Heading5"/>
        <w:shd w:val="clear" w:color="auto" w:fill="FFFFFF"/>
        <w:rPr>
          <w:rFonts w:ascii="Helvetica" w:hAnsi="Helvetica"/>
          <w:sz w:val="21"/>
          <w:szCs w:val="21"/>
        </w:rPr>
      </w:pPr>
      <w:r>
        <w:rPr>
          <w:rFonts w:ascii="Helvetica" w:hAnsi="Helvetica"/>
        </w:rPr>
        <w:t>TOTAL SEMESTER HOURS REQUIRED: 60 HRS</w:t>
      </w:r>
    </w:p>
    <w:p w:rsidR="00490322" w:rsidRDefault="00490322" w:rsidP="00490322">
      <w:pPr>
        <w:pStyle w:val="Heading5"/>
        <w:shd w:val="clear" w:color="auto" w:fill="FFFFFF"/>
        <w:rPr>
          <w:rFonts w:ascii="Helvetica" w:hAnsi="Helvetica"/>
          <w:sz w:val="21"/>
          <w:szCs w:val="21"/>
        </w:rPr>
      </w:pPr>
      <w:r>
        <w:rPr>
          <w:rFonts w:ascii="Helvetica" w:hAnsi="Helvetica"/>
        </w:rPr>
        <w:t>Additional Graduation Requirements</w:t>
      </w:r>
    </w:p>
    <w:p w:rsidR="00490322" w:rsidRDefault="00490322" w:rsidP="00490322">
      <w:pPr>
        <w:numPr>
          <w:ilvl w:val="0"/>
          <w:numId w:val="3"/>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Students must satisfactorily complete the minimum number of credit hours specified by the graduate degree program.</w:t>
      </w:r>
    </w:p>
    <w:p w:rsidR="00490322" w:rsidRDefault="00490322" w:rsidP="00490322">
      <w:pPr>
        <w:numPr>
          <w:ilvl w:val="0"/>
          <w:numId w:val="3"/>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A grade of B or higher must be earned in all </w:t>
      </w:r>
      <w:smartTag w:uri="urn:schemas-microsoft-com:office:smarttags" w:element="place">
        <w:smartTag w:uri="urn:schemas-microsoft-com:office:smarttags" w:element="PlaceType">
          <w:r>
            <w:rPr>
              <w:rFonts w:ascii="Helvetica" w:hAnsi="Helvetica"/>
              <w:sz w:val="18"/>
              <w:szCs w:val="18"/>
            </w:rPr>
            <w:t>College</w:t>
          </w:r>
        </w:smartTag>
        <w:r>
          <w:rPr>
            <w:rFonts w:ascii="Helvetica" w:hAnsi="Helvetica"/>
            <w:sz w:val="18"/>
            <w:szCs w:val="18"/>
          </w:rPr>
          <w:t xml:space="preserve"> of </w:t>
        </w:r>
        <w:smartTag w:uri="urn:schemas-microsoft-com:office:smarttags" w:element="PlaceName">
          <w:r>
            <w:rPr>
              <w:rFonts w:ascii="Helvetica" w:hAnsi="Helvetica"/>
              <w:sz w:val="18"/>
              <w:szCs w:val="18"/>
            </w:rPr>
            <w:t>Education</w:t>
          </w:r>
        </w:smartTag>
      </w:smartTag>
      <w:r>
        <w:rPr>
          <w:rFonts w:ascii="Helvetica" w:hAnsi="Helvetica"/>
          <w:sz w:val="18"/>
          <w:szCs w:val="18"/>
        </w:rPr>
        <w:t xml:space="preserve"> graduate courses used as prerequisites and each core course.</w:t>
      </w:r>
    </w:p>
    <w:p w:rsidR="00490322" w:rsidRDefault="00490322" w:rsidP="00490322">
      <w:pPr>
        <w:numPr>
          <w:ilvl w:val="0"/>
          <w:numId w:val="3"/>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lastRenderedPageBreak/>
        <w:t>Overall GPA of 3.0 or higher in all work attempted.</w:t>
      </w:r>
    </w:p>
    <w:p w:rsidR="00490322" w:rsidRDefault="00490322" w:rsidP="00490322">
      <w:pPr>
        <w:numPr>
          <w:ilvl w:val="0"/>
          <w:numId w:val="3"/>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A cumulative GPA of 3.0 for all coursework in program.</w:t>
      </w:r>
    </w:p>
    <w:p w:rsidR="00490322" w:rsidRDefault="00490322" w:rsidP="00490322">
      <w:pPr>
        <w:numPr>
          <w:ilvl w:val="0"/>
          <w:numId w:val="3"/>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Students must complete and pass a culminating demonstration of learning and competence at the end of the program. These may include comprehensive examinations, portfolios, special practicum projects, or research projects.</w:t>
      </w:r>
    </w:p>
    <w:p w:rsidR="00490322" w:rsidRDefault="00490322" w:rsidP="00490322">
      <w:pPr>
        <w:pStyle w:val="Heading5"/>
        <w:shd w:val="clear" w:color="auto" w:fill="FFFFFF"/>
        <w:rPr>
          <w:rFonts w:ascii="Helvetica" w:hAnsi="Helvetica"/>
          <w:sz w:val="21"/>
          <w:szCs w:val="21"/>
        </w:rPr>
      </w:pPr>
      <w:r>
        <w:rPr>
          <w:rFonts w:ascii="Helvetica" w:hAnsi="Helvetica"/>
        </w:rPr>
        <w:t>Transfer Notes and Acceptable Substitutes</w:t>
      </w:r>
    </w:p>
    <w:p w:rsidR="00490322" w:rsidRDefault="00490322" w:rsidP="00490322">
      <w:pPr>
        <w:pStyle w:val="NormalWeb"/>
        <w:shd w:val="clear" w:color="auto" w:fill="FFFFFF"/>
        <w:rPr>
          <w:rFonts w:ascii="Helvetica" w:hAnsi="Helvetica"/>
        </w:rPr>
      </w:pPr>
      <w:r>
        <w:rPr>
          <w:rFonts w:ascii="Helvetica" w:hAnsi="Helvetica"/>
        </w:rPr>
        <w:t xml:space="preserve">The </w:t>
      </w:r>
      <w:smartTag w:uri="urn:schemas-microsoft-com:office:smarttags" w:element="place">
        <w:smartTag w:uri="urn:schemas-microsoft-com:office:smarttags" w:element="PlaceType">
          <w:r>
            <w:rPr>
              <w:rFonts w:ascii="Helvetica" w:hAnsi="Helvetica"/>
            </w:rPr>
            <w:t>College</w:t>
          </w:r>
        </w:smartTag>
        <w:r>
          <w:rPr>
            <w:rFonts w:ascii="Helvetica" w:hAnsi="Helvetica"/>
          </w:rPr>
          <w:t xml:space="preserve"> of </w:t>
        </w:r>
        <w:smartTag w:uri="urn:schemas-microsoft-com:office:smarttags" w:element="PlaceName">
          <w:r>
            <w:rPr>
              <w:rFonts w:ascii="Helvetica" w:hAnsi="Helvetica"/>
            </w:rPr>
            <w:t>Education</w:t>
          </w:r>
        </w:smartTag>
      </w:smartTag>
      <w:r>
        <w:rPr>
          <w:rFonts w:ascii="Helvetica" w:hAnsi="Helvetica"/>
        </w:rPr>
        <w:t xml:space="preserve">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490322" w:rsidRPr="00E02087" w:rsidRDefault="00490322" w:rsidP="00490322">
      <w:pPr>
        <w:spacing w:after="0" w:line="240" w:lineRule="auto"/>
        <w:rPr>
          <w:rFonts w:ascii="Times New Roman" w:hAnsi="Times New Roman"/>
          <w:color w:val="000000"/>
          <w:sz w:val="18"/>
          <w:szCs w:val="18"/>
        </w:rPr>
      </w:pPr>
      <w:r>
        <w:rPr>
          <w:rFonts w:ascii="Times New Roman" w:hAnsi="Times New Roman"/>
          <w:noProof/>
          <w:color w:val="000000"/>
          <w:sz w:val="18"/>
          <w:szCs w:val="18"/>
        </w:rPr>
        <w:drawing>
          <wp:inline distT="0" distB="0" distL="0" distR="0">
            <wp:extent cx="2571750" cy="857250"/>
            <wp:effectExtent l="19050" t="0" r="0" b="0"/>
            <wp:docPr id="2" name="Picture 12" descr="http://www.fgcu.edu/_includes/FGCUCatalog/images/FGC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gcu.edu/_includes/FGCUCatalog/images/FGCULogo.gif"/>
                    <pic:cNvPicPr>
                      <a:picLocks noChangeAspect="1" noChangeArrowheads="1"/>
                    </pic:cNvPicPr>
                  </pic:nvPicPr>
                  <pic:blipFill>
                    <a:blip r:embed="rId9" cstate="print"/>
                    <a:srcRect/>
                    <a:stretch>
                      <a:fillRect/>
                    </a:stretch>
                  </pic:blipFill>
                  <pic:spPr bwMode="auto">
                    <a:xfrm>
                      <a:off x="0" y="0"/>
                      <a:ext cx="2571750" cy="857250"/>
                    </a:xfrm>
                    <a:prstGeom prst="rect">
                      <a:avLst/>
                    </a:prstGeom>
                    <a:noFill/>
                    <a:ln w="9525">
                      <a:noFill/>
                      <a:miter lim="800000"/>
                      <a:headEnd/>
                      <a:tailEnd/>
                    </a:ln>
                  </pic:spPr>
                </pic:pic>
              </a:graphicData>
            </a:graphic>
          </wp:inline>
        </w:drawing>
      </w:r>
    </w:p>
    <w:p w:rsidR="00490322" w:rsidRDefault="00490322" w:rsidP="00490322">
      <w:pPr>
        <w:pStyle w:val="Heading2"/>
        <w:pBdr>
          <w:bottom w:val="single" w:sz="12" w:space="0" w:color="8FA3BB"/>
        </w:pBdr>
        <w:shd w:val="clear" w:color="auto" w:fill="FFFFFF"/>
        <w:spacing w:after="75" w:afterAutospacing="0"/>
        <w:rPr>
          <w:rFonts w:ascii="Helvetica" w:hAnsi="Helvetica"/>
        </w:rPr>
      </w:pPr>
      <w:r>
        <w:rPr>
          <w:rFonts w:ascii="Helvetica" w:hAnsi="Helvetica"/>
        </w:rPr>
        <w:t>School Counseling (M.Ed.) 2012-2013 Catalog Year</w:t>
      </w:r>
    </w:p>
    <w:p w:rsidR="00490322" w:rsidRDefault="00490322" w:rsidP="00490322">
      <w:pPr>
        <w:pStyle w:val="Heading3"/>
        <w:shd w:val="clear" w:color="auto" w:fill="FFFFFF"/>
        <w:rPr>
          <w:rFonts w:ascii="Helvetica" w:hAnsi="Helvetica"/>
        </w:rPr>
      </w:pPr>
      <w:smartTag w:uri="urn:schemas-microsoft-com:office:smarttags" w:element="place">
        <w:smartTag w:uri="urn:schemas-microsoft-com:office:smarttags" w:element="PlaceType">
          <w:r>
            <w:rPr>
              <w:rFonts w:ascii="Helvetica" w:hAnsi="Helvetica"/>
            </w:rPr>
            <w:t>College</w:t>
          </w:r>
        </w:smartTag>
        <w:r>
          <w:rPr>
            <w:rFonts w:ascii="Helvetica" w:hAnsi="Helvetica"/>
          </w:rPr>
          <w:t xml:space="preserve"> of </w:t>
        </w:r>
        <w:smartTag w:uri="urn:schemas-microsoft-com:office:smarttags" w:element="PlaceName">
          <w:r>
            <w:rPr>
              <w:rFonts w:ascii="Helvetica" w:hAnsi="Helvetica"/>
            </w:rPr>
            <w:t>Education</w:t>
          </w:r>
        </w:smartTag>
      </w:smartTag>
    </w:p>
    <w:p w:rsidR="00490322" w:rsidRDefault="00490322" w:rsidP="00490322">
      <w:pPr>
        <w:shd w:val="clear" w:color="auto" w:fill="FFFFFF"/>
        <w:rPr>
          <w:rFonts w:ascii="Helvetica" w:hAnsi="Helvetica"/>
          <w:sz w:val="18"/>
          <w:szCs w:val="18"/>
        </w:rPr>
      </w:pPr>
      <w:hyperlink r:id="rId10" w:history="1">
        <w:r>
          <w:rPr>
            <w:rStyle w:val="Hyperlink"/>
            <w:sz w:val="17"/>
            <w:szCs w:val="17"/>
          </w:rPr>
          <w:t>http://coe.fgcu.edu/schoolcounselingmed/index.asp</w:t>
        </w:r>
      </w:hyperlink>
      <w:r>
        <w:rPr>
          <w:rFonts w:ascii="Helvetica" w:hAnsi="Helvetica"/>
          <w:sz w:val="18"/>
          <w:szCs w:val="18"/>
        </w:rPr>
        <w:t xml:space="preserve"> </w:t>
      </w:r>
    </w:p>
    <w:p w:rsidR="00490322" w:rsidRDefault="00490322" w:rsidP="00490322">
      <w:pPr>
        <w:shd w:val="clear" w:color="auto" w:fill="FFFFFF"/>
        <w:rPr>
          <w:rFonts w:ascii="Helvetica" w:hAnsi="Helvetica"/>
          <w:sz w:val="18"/>
          <w:szCs w:val="18"/>
        </w:rPr>
      </w:pPr>
      <w:hyperlink r:id="rId11" w:tgtFrame="_blank" w:history="1">
        <w:r>
          <w:rPr>
            <w:rFonts w:ascii="Verdana" w:hAnsi="Verdana"/>
            <w:noProof/>
            <w:color w:val="00287A"/>
            <w:sz w:val="18"/>
            <w:szCs w:val="18"/>
          </w:rPr>
          <w:drawing>
            <wp:inline distT="0" distB="0" distL="0" distR="0">
              <wp:extent cx="152400" cy="152400"/>
              <wp:effectExtent l="19050" t="0" r="0" b="0"/>
              <wp:docPr id="3" name="Picture 20" descr="http://www.fgcu.edu/icons/action_print.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gcu.edu/icons/action_print.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Hyperlink"/>
            <w:sz w:val="18"/>
            <w:szCs w:val="18"/>
          </w:rPr>
          <w:t>Print Program Details</w:t>
        </w:r>
      </w:hyperlink>
    </w:p>
    <w:p w:rsidR="00490322" w:rsidRPr="00E3097E" w:rsidRDefault="00490322" w:rsidP="00490322">
      <w:pPr>
        <w:pStyle w:val="NormalWeb"/>
        <w:shd w:val="clear" w:color="auto" w:fill="FFFFFF"/>
        <w:rPr>
          <w:rFonts w:ascii="Helvetica" w:hAnsi="Helvetica"/>
          <w:sz w:val="18"/>
          <w:szCs w:val="20"/>
        </w:rPr>
      </w:pPr>
      <w:r w:rsidRPr="00E3097E">
        <w:rPr>
          <w:rFonts w:ascii="Helvetica" w:hAnsi="Helvetica"/>
          <w:sz w:val="22"/>
        </w:rPr>
        <w:t xml:space="preserve">The Counseling program offers </w:t>
      </w:r>
      <w:proofErr w:type="gramStart"/>
      <w:r w:rsidRPr="00E3097E">
        <w:rPr>
          <w:rFonts w:ascii="Helvetica" w:hAnsi="Helvetica"/>
          <w:sz w:val="22"/>
        </w:rPr>
        <w:t>an</w:t>
      </w:r>
      <w:proofErr w:type="gramEnd"/>
      <w:r w:rsidRPr="00E3097E">
        <w:rPr>
          <w:rFonts w:ascii="Helvetica" w:hAnsi="Helvetica"/>
          <w:sz w:val="22"/>
        </w:rPr>
        <w:t xml:space="preserve"> M.Ed. in School Counseling. Students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rsidR="00490322" w:rsidRDefault="00490322" w:rsidP="00490322">
      <w:pPr>
        <w:pStyle w:val="Heading5"/>
        <w:shd w:val="clear" w:color="auto" w:fill="FFFFFF"/>
        <w:rPr>
          <w:rFonts w:ascii="Helvetica" w:hAnsi="Helvetica"/>
        </w:rPr>
      </w:pPr>
      <w:r>
        <w:rPr>
          <w:rFonts w:ascii="Helvetica" w:hAnsi="Helvetica"/>
        </w:rPr>
        <w:t>Program Admission Requirements</w:t>
      </w:r>
    </w:p>
    <w:p w:rsidR="00490322" w:rsidRDefault="00490322" w:rsidP="00490322">
      <w:pPr>
        <w:numPr>
          <w:ilvl w:val="0"/>
          <w:numId w:val="4"/>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A four year undergraduate degree from a regionally accredited institution. </w:t>
      </w:r>
    </w:p>
    <w:p w:rsidR="00490322" w:rsidRDefault="00490322" w:rsidP="00490322">
      <w:pPr>
        <w:numPr>
          <w:ilvl w:val="0"/>
          <w:numId w:val="4"/>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Any one of the following: </w:t>
      </w:r>
    </w:p>
    <w:p w:rsidR="00490322" w:rsidRDefault="00490322" w:rsidP="00490322">
      <w:pPr>
        <w:numPr>
          <w:ilvl w:val="1"/>
          <w:numId w:val="4"/>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grade point average (GPA) of 3.0 or higher on a 4.0 scale for the last 60 semester hours attempted accruing to the undergraduate degree; or </w:t>
      </w:r>
    </w:p>
    <w:p w:rsidR="00490322" w:rsidRDefault="00490322" w:rsidP="00490322">
      <w:pPr>
        <w:numPr>
          <w:ilvl w:val="1"/>
          <w:numId w:val="4"/>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combined score of 1000 or higher on the quantitative and verbal sections of the GRE exam; or </w:t>
      </w:r>
    </w:p>
    <w:p w:rsidR="00490322" w:rsidRDefault="00490322" w:rsidP="00490322">
      <w:pPr>
        <w:numPr>
          <w:ilvl w:val="1"/>
          <w:numId w:val="4"/>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 xml:space="preserve">a 400 or higher on the MAT; or </w:t>
      </w:r>
    </w:p>
    <w:p w:rsidR="00490322" w:rsidRDefault="00490322" w:rsidP="00490322">
      <w:pPr>
        <w:numPr>
          <w:ilvl w:val="1"/>
          <w:numId w:val="4"/>
        </w:numPr>
        <w:shd w:val="clear" w:color="auto" w:fill="FFFFFF"/>
        <w:spacing w:before="100" w:beforeAutospacing="1" w:after="100" w:afterAutospacing="1" w:line="360" w:lineRule="atLeast"/>
        <w:ind w:left="2340"/>
        <w:rPr>
          <w:rFonts w:ascii="Helvetica" w:hAnsi="Helvetica"/>
          <w:sz w:val="18"/>
          <w:szCs w:val="18"/>
        </w:rPr>
      </w:pPr>
      <w:proofErr w:type="gramStart"/>
      <w:r>
        <w:rPr>
          <w:rFonts w:ascii="Helvetica" w:hAnsi="Helvetica"/>
          <w:sz w:val="18"/>
          <w:szCs w:val="18"/>
        </w:rPr>
        <w:lastRenderedPageBreak/>
        <w:t>a</w:t>
      </w:r>
      <w:proofErr w:type="gramEnd"/>
      <w:r>
        <w:rPr>
          <w:rFonts w:ascii="Helvetica" w:hAnsi="Helvetica"/>
          <w:sz w:val="18"/>
          <w:szCs w:val="18"/>
        </w:rPr>
        <w:t xml:space="preserve"> graduate degree from a regionally accredited institution. </w:t>
      </w:r>
      <w:r>
        <w:rPr>
          <w:rFonts w:ascii="Helvetica" w:hAnsi="Helvetica"/>
          <w:sz w:val="18"/>
          <w:szCs w:val="18"/>
        </w:rPr>
        <w:br/>
      </w:r>
      <w:r>
        <w:rPr>
          <w:rFonts w:ascii="Helvetica" w:hAnsi="Helvetica"/>
          <w:sz w:val="18"/>
          <w:szCs w:val="18"/>
        </w:rPr>
        <w:br/>
        <w:t>Note: All applicants must submit GPA and graduate admission (GRE or MAT) test scores regardless of which of the above criteria are met for admissions. Some programs may have additional admissions criteria (refer to program information). Students may be required to take specific undergraduate course(s) if they do not have the necessary prerequisites for the graduate level course or program.</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Submission of three favorable recommendations from professionals in the field.</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Evidence of having completed all coursework and examinations required for Florida Professional Educator Certification</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Performance in courses taken post baccalaureate will be taken into consideration for admission to the School Counseling Program.</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Submission of a written statement of career goals.</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Participation in a personal interview, if requested by admissions committee.</w:t>
      </w:r>
    </w:p>
    <w:p w:rsidR="00490322" w:rsidRDefault="00490322" w:rsidP="00490322">
      <w:pPr>
        <w:numPr>
          <w:ilvl w:val="0"/>
          <w:numId w:val="5"/>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Counseling Criminal Record Policy Statement:  All applicants are advised that in order to complete the program they must complete internships.  Most internship facilities do background checks and will not</w:t>
      </w:r>
      <w:proofErr w:type="gramStart"/>
      <w:r>
        <w:rPr>
          <w:rFonts w:ascii="Helvetica" w:hAnsi="Helvetica"/>
          <w:sz w:val="18"/>
          <w:szCs w:val="18"/>
        </w:rPr>
        <w:t>  permit</w:t>
      </w:r>
      <w:proofErr w:type="gramEnd"/>
      <w:r>
        <w:rPr>
          <w:rFonts w:ascii="Helvetica" w:hAnsi="Helvetica"/>
          <w:sz w:val="18"/>
          <w:szCs w:val="18"/>
        </w:rPr>
        <w:t xml:space="preserve">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w:t>
      </w:r>
    </w:p>
    <w:p w:rsidR="00490322" w:rsidRDefault="00490322" w:rsidP="00490322">
      <w:pPr>
        <w:pStyle w:val="Heading5"/>
        <w:shd w:val="clear" w:color="auto" w:fill="FFFFFF"/>
        <w:rPr>
          <w:rFonts w:ascii="Helvetica" w:hAnsi="Helvetica"/>
          <w:sz w:val="21"/>
          <w:szCs w:val="21"/>
        </w:rPr>
      </w:pPr>
      <w:r>
        <w:rPr>
          <w:rFonts w:ascii="Helvetica" w:hAnsi="Helvetica"/>
        </w:rPr>
        <w:t>Program Requirements</w:t>
      </w:r>
    </w:p>
    <w:p w:rsidR="00490322" w:rsidRDefault="00490322" w:rsidP="00490322">
      <w:pPr>
        <w:pStyle w:val="NormalWeb"/>
        <w:shd w:val="clear" w:color="auto" w:fill="FFFFFF"/>
        <w:rPr>
          <w:rFonts w:ascii="Helvetica" w:hAnsi="Helvetica"/>
        </w:rPr>
      </w:pPr>
      <w:proofErr w:type="gramStart"/>
      <w:r>
        <w:rPr>
          <w:rFonts w:ascii="Helvetica" w:hAnsi="Helvetica"/>
        </w:rPr>
        <w:t>Designed for school counselors who already hold or are eligible for a teaching certificate.</w:t>
      </w:r>
      <w:proofErr w:type="gramEnd"/>
      <w:r>
        <w:rPr>
          <w:rFonts w:ascii="Helvetica" w:hAnsi="Helvetica"/>
        </w:rPr>
        <w:t xml:space="preserve"> Normally, students begin their studies in the spring semester.</w:t>
      </w:r>
    </w:p>
    <w:p w:rsidR="00490322" w:rsidRDefault="00490322" w:rsidP="00490322">
      <w:pPr>
        <w:numPr>
          <w:ilvl w:val="0"/>
          <w:numId w:val="6"/>
        </w:numPr>
        <w:shd w:val="clear" w:color="auto" w:fill="FFFFFF"/>
        <w:spacing w:before="100" w:beforeAutospacing="1" w:after="240" w:line="360" w:lineRule="atLeast"/>
        <w:ind w:left="1170"/>
        <w:rPr>
          <w:rFonts w:ascii="Helvetica" w:hAnsi="Helvetica"/>
          <w:sz w:val="18"/>
          <w:szCs w:val="18"/>
        </w:rPr>
      </w:pPr>
      <w:r>
        <w:rPr>
          <w:rStyle w:val="Strong"/>
          <w:rFonts w:ascii="Helvetica" w:hAnsi="Helvetica"/>
          <w:sz w:val="18"/>
          <w:szCs w:val="18"/>
        </w:rPr>
        <w:t>Required courses:</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6010  Introduction to School Counseling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6051  Human Development for School Counselors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6200  Appraisal Procedures in Schools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6340  Career Development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6400 Counseling Theory for School Counselors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6401 Advanced School Counseling Methods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6480 Special Populations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6500 Group Work for School Professionals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6601 Consultation &amp; Collaboration Problem Solving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6700  Legal &amp; Ethical Issues in the Counseling Profession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lastRenderedPageBreak/>
        <w:t>MHS 6710  Research &amp; Program Evaluation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6720  Seminar in Professional Development and Supervision (1)</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6800  Practicum in Counseling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6805  Advanced Practicum in Counseling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6831  Internship I (2)</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MHS 6832  Internship II (3)</w:t>
      </w:r>
    </w:p>
    <w:p w:rsidR="00490322" w:rsidRDefault="00490322" w:rsidP="00490322">
      <w:pPr>
        <w:numPr>
          <w:ilvl w:val="1"/>
          <w:numId w:val="6"/>
        </w:numPr>
        <w:shd w:val="clear" w:color="auto" w:fill="FFFFFF"/>
        <w:spacing w:before="100" w:beforeAutospacing="1" w:after="100" w:afterAutospacing="1" w:line="360" w:lineRule="atLeast"/>
        <w:ind w:left="2340"/>
        <w:rPr>
          <w:rFonts w:ascii="Helvetica" w:hAnsi="Helvetica"/>
          <w:sz w:val="18"/>
          <w:szCs w:val="18"/>
        </w:rPr>
      </w:pPr>
      <w:r>
        <w:rPr>
          <w:rFonts w:ascii="Helvetica" w:hAnsi="Helvetica"/>
          <w:sz w:val="18"/>
          <w:szCs w:val="18"/>
        </w:rPr>
        <w:t>SDS  6830  Internship in School Counseling (3)</w:t>
      </w:r>
    </w:p>
    <w:p w:rsidR="00490322" w:rsidRDefault="00490322" w:rsidP="00490322">
      <w:pPr>
        <w:pStyle w:val="Heading5"/>
        <w:shd w:val="clear" w:color="auto" w:fill="FFFFFF"/>
        <w:rPr>
          <w:rFonts w:ascii="Helvetica" w:hAnsi="Helvetica"/>
          <w:sz w:val="21"/>
          <w:szCs w:val="21"/>
        </w:rPr>
      </w:pPr>
      <w:r>
        <w:rPr>
          <w:rFonts w:ascii="Helvetica" w:hAnsi="Helvetica"/>
        </w:rPr>
        <w:t>TOTAL SEMESTER HOURS REQUIRED: 48 HRS</w:t>
      </w:r>
    </w:p>
    <w:p w:rsidR="00490322" w:rsidRDefault="00490322" w:rsidP="00490322">
      <w:pPr>
        <w:pStyle w:val="Heading5"/>
        <w:shd w:val="clear" w:color="auto" w:fill="FFFFFF"/>
        <w:rPr>
          <w:rFonts w:ascii="Helvetica" w:hAnsi="Helvetica"/>
          <w:sz w:val="21"/>
          <w:szCs w:val="21"/>
        </w:rPr>
      </w:pPr>
      <w:r>
        <w:rPr>
          <w:rFonts w:ascii="Helvetica" w:hAnsi="Helvetica"/>
        </w:rPr>
        <w:t>Additional Graduation Requirements</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Students must satisfactorily complete 48 credit hours specified by the graduate degree program.</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A grade of B or higher must be earned in all </w:t>
      </w:r>
      <w:smartTag w:uri="urn:schemas-microsoft-com:office:smarttags" w:element="place">
        <w:smartTag w:uri="urn:schemas-microsoft-com:office:smarttags" w:element="PlaceType">
          <w:r>
            <w:rPr>
              <w:rFonts w:ascii="Helvetica" w:hAnsi="Helvetica"/>
              <w:sz w:val="18"/>
              <w:szCs w:val="18"/>
            </w:rPr>
            <w:t>College</w:t>
          </w:r>
        </w:smartTag>
        <w:r>
          <w:rPr>
            <w:rFonts w:ascii="Helvetica" w:hAnsi="Helvetica"/>
            <w:sz w:val="18"/>
            <w:szCs w:val="18"/>
          </w:rPr>
          <w:t xml:space="preserve"> of </w:t>
        </w:r>
        <w:smartTag w:uri="urn:schemas-microsoft-com:office:smarttags" w:element="PlaceName">
          <w:r>
            <w:rPr>
              <w:rFonts w:ascii="Helvetica" w:hAnsi="Helvetica"/>
              <w:sz w:val="18"/>
              <w:szCs w:val="18"/>
            </w:rPr>
            <w:t>Education</w:t>
          </w:r>
        </w:smartTag>
      </w:smartTag>
      <w:r>
        <w:rPr>
          <w:rFonts w:ascii="Helvetica" w:hAnsi="Helvetica"/>
          <w:sz w:val="18"/>
          <w:szCs w:val="18"/>
        </w:rPr>
        <w:t xml:space="preserve"> graduate courses used as prerequisites and each core course.</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Overall GPA of 3.0 or higher in all work attempted.</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A cumulative GPA of 3.0 for all coursework in program.</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w:t>
      </w:r>
    </w:p>
    <w:p w:rsidR="00490322" w:rsidRDefault="00490322" w:rsidP="00490322">
      <w:pPr>
        <w:numPr>
          <w:ilvl w:val="0"/>
          <w:numId w:val="7"/>
        </w:numPr>
        <w:shd w:val="clear" w:color="auto" w:fill="FFFFFF"/>
        <w:spacing w:before="100" w:beforeAutospacing="1" w:after="100" w:afterAutospacing="1" w:line="360" w:lineRule="atLeast"/>
        <w:ind w:left="1170"/>
        <w:rPr>
          <w:rFonts w:ascii="Helvetica" w:hAnsi="Helvetica"/>
          <w:sz w:val="18"/>
          <w:szCs w:val="18"/>
        </w:rPr>
      </w:pPr>
      <w:r>
        <w:rPr>
          <w:rFonts w:ascii="Helvetica" w:hAnsi="Helvetica"/>
          <w:sz w:val="18"/>
          <w:szCs w:val="18"/>
        </w:rPr>
        <w:t xml:space="preserve">Students seeking certification by graduating from a state approved program must show evidence of passing all FTCE exam components as required by the state of </w:t>
      </w:r>
      <w:smartTag w:uri="urn:schemas-microsoft-com:office:smarttags" w:element="State">
        <w:smartTag w:uri="urn:schemas-microsoft-com:office:smarttags" w:element="place">
          <w:r>
            <w:rPr>
              <w:rFonts w:ascii="Helvetica" w:hAnsi="Helvetica"/>
              <w:sz w:val="18"/>
              <w:szCs w:val="18"/>
            </w:rPr>
            <w:t>Florida</w:t>
          </w:r>
        </w:smartTag>
      </w:smartTag>
      <w:r>
        <w:rPr>
          <w:rFonts w:ascii="Helvetica" w:hAnsi="Helvetica"/>
          <w:sz w:val="18"/>
          <w:szCs w:val="18"/>
        </w:rPr>
        <w:t xml:space="preserve">. These may include the Professional Education examination (taken by all applicants applying for an initial teaching certificate, the Florida Guidance and Counseling Subject Area Examination, and the General Knowledge Test (if they do not already have </w:t>
      </w:r>
      <w:smartTag w:uri="urn:schemas-microsoft-com:office:smarttags" w:element="State">
        <w:smartTag w:uri="urn:schemas-microsoft-com:office:smarttags" w:element="place">
          <w:r>
            <w:rPr>
              <w:rFonts w:ascii="Helvetica" w:hAnsi="Helvetica"/>
              <w:sz w:val="18"/>
              <w:szCs w:val="18"/>
            </w:rPr>
            <w:t>Florida</w:t>
          </w:r>
        </w:smartTag>
      </w:smartTag>
      <w:r>
        <w:rPr>
          <w:rFonts w:ascii="Helvetica" w:hAnsi="Helvetica"/>
          <w:sz w:val="18"/>
          <w:szCs w:val="18"/>
        </w:rPr>
        <w:t xml:space="preserve"> certification or if they have not already passed all subsections of the CLAST prior to July 1, 2002.) (See individual program requirements and/or advisors for information.)</w:t>
      </w:r>
    </w:p>
    <w:p w:rsidR="00490322" w:rsidRDefault="00490322" w:rsidP="00490322">
      <w:pPr>
        <w:pStyle w:val="Heading5"/>
        <w:shd w:val="clear" w:color="auto" w:fill="FFFFFF"/>
        <w:rPr>
          <w:rFonts w:ascii="Helvetica" w:hAnsi="Helvetica"/>
          <w:sz w:val="21"/>
          <w:szCs w:val="21"/>
        </w:rPr>
      </w:pPr>
      <w:r>
        <w:rPr>
          <w:rFonts w:ascii="Helvetica" w:hAnsi="Helvetica"/>
        </w:rPr>
        <w:t>Transfer Notes and Acceptable Substitutes</w:t>
      </w:r>
    </w:p>
    <w:p w:rsidR="00490322" w:rsidRPr="00E3097E" w:rsidRDefault="00490322" w:rsidP="00490322">
      <w:pPr>
        <w:pStyle w:val="NormalWeb"/>
        <w:shd w:val="clear" w:color="auto" w:fill="FFFFFF"/>
        <w:rPr>
          <w:rFonts w:ascii="Helvetica" w:hAnsi="Helvetica"/>
          <w:sz w:val="22"/>
        </w:rPr>
      </w:pPr>
      <w:r w:rsidRPr="00E3097E">
        <w:rPr>
          <w:rFonts w:ascii="Helvetica" w:hAnsi="Helvetica"/>
          <w:sz w:val="22"/>
        </w:rPr>
        <w:t xml:space="preserve">The </w:t>
      </w:r>
      <w:smartTag w:uri="urn:schemas-microsoft-com:office:smarttags" w:element="place">
        <w:smartTag w:uri="urn:schemas-microsoft-com:office:smarttags" w:element="PlaceType">
          <w:r w:rsidRPr="00E3097E">
            <w:rPr>
              <w:rFonts w:ascii="Helvetica" w:hAnsi="Helvetica"/>
              <w:sz w:val="22"/>
            </w:rPr>
            <w:t>College</w:t>
          </w:r>
        </w:smartTag>
        <w:r w:rsidRPr="00E3097E">
          <w:rPr>
            <w:rFonts w:ascii="Helvetica" w:hAnsi="Helvetica"/>
            <w:sz w:val="22"/>
          </w:rPr>
          <w:t xml:space="preserve"> of </w:t>
        </w:r>
        <w:smartTag w:uri="urn:schemas-microsoft-com:office:smarttags" w:element="PlaceName">
          <w:r w:rsidRPr="00E3097E">
            <w:rPr>
              <w:rFonts w:ascii="Helvetica" w:hAnsi="Helvetica"/>
              <w:sz w:val="22"/>
            </w:rPr>
            <w:t>Education</w:t>
          </w:r>
        </w:smartTag>
      </w:smartTag>
      <w:r w:rsidRPr="00E3097E">
        <w:rPr>
          <w:rFonts w:ascii="Helvetica" w:hAnsi="Helvetica"/>
          <w:sz w:val="22"/>
        </w:rPr>
        <w:t xml:space="preserve">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F46496" w:rsidRDefault="00F46496"/>
    <w:sectPr w:rsidR="00F46496" w:rsidSect="00F464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BFA"/>
    <w:multiLevelType w:val="multilevel"/>
    <w:tmpl w:val="93D6D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E6F87"/>
    <w:multiLevelType w:val="multilevel"/>
    <w:tmpl w:val="C3005D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414D7"/>
    <w:multiLevelType w:val="multilevel"/>
    <w:tmpl w:val="66AA1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D68D6"/>
    <w:multiLevelType w:val="multilevel"/>
    <w:tmpl w:val="44D0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B4731"/>
    <w:multiLevelType w:val="multilevel"/>
    <w:tmpl w:val="E5243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413BA"/>
    <w:multiLevelType w:val="multilevel"/>
    <w:tmpl w:val="01568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873BEA"/>
    <w:multiLevelType w:val="multilevel"/>
    <w:tmpl w:val="630C578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defaultTabStop w:val="720"/>
  <w:characterSpacingControl w:val="doNotCompress"/>
  <w:compat/>
  <w:rsids>
    <w:rsidRoot w:val="00490322"/>
    <w:rsid w:val="00490322"/>
    <w:rsid w:val="00F46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22"/>
    <w:rPr>
      <w:rFonts w:ascii="Calibri" w:eastAsia="Times New Roman" w:hAnsi="Calibri" w:cs="Times New Roman"/>
    </w:rPr>
  </w:style>
  <w:style w:type="paragraph" w:styleId="Heading2">
    <w:name w:val="heading 2"/>
    <w:basedOn w:val="Normal"/>
    <w:link w:val="Heading2Char"/>
    <w:qFormat/>
    <w:rsid w:val="00490322"/>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qFormat/>
    <w:rsid w:val="00490322"/>
    <w:pPr>
      <w:spacing w:before="100" w:beforeAutospacing="1" w:after="100" w:afterAutospacing="1" w:line="240" w:lineRule="auto"/>
      <w:outlineLvl w:val="2"/>
    </w:pPr>
    <w:rPr>
      <w:rFonts w:ascii="Times New Roman" w:hAnsi="Times New Roman"/>
      <w:b/>
      <w:bCs/>
      <w:sz w:val="27"/>
      <w:szCs w:val="27"/>
    </w:rPr>
  </w:style>
  <w:style w:type="paragraph" w:styleId="Heading5">
    <w:name w:val="heading 5"/>
    <w:basedOn w:val="Normal"/>
    <w:link w:val="Heading5Char"/>
    <w:qFormat/>
    <w:rsid w:val="00490322"/>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03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9032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rsid w:val="00490322"/>
    <w:rPr>
      <w:rFonts w:ascii="Times New Roman" w:eastAsia="Times New Roman" w:hAnsi="Times New Roman" w:cs="Times New Roman"/>
      <w:b/>
      <w:bCs/>
      <w:sz w:val="20"/>
      <w:szCs w:val="20"/>
    </w:rPr>
  </w:style>
  <w:style w:type="character" w:styleId="Hyperlink">
    <w:name w:val="Hyperlink"/>
    <w:basedOn w:val="DefaultParagraphFont"/>
    <w:rsid w:val="00490322"/>
    <w:rPr>
      <w:rFonts w:cs="Times New Roman"/>
      <w:color w:val="0000FF"/>
      <w:u w:val="single"/>
    </w:rPr>
  </w:style>
  <w:style w:type="character" w:styleId="Strong">
    <w:name w:val="Strong"/>
    <w:basedOn w:val="DefaultParagraphFont"/>
    <w:qFormat/>
    <w:rsid w:val="00490322"/>
    <w:rPr>
      <w:rFonts w:cs="Times New Roman"/>
      <w:b/>
      <w:bCs/>
    </w:rPr>
  </w:style>
  <w:style w:type="paragraph" w:styleId="NormalWeb">
    <w:name w:val="Normal (Web)"/>
    <w:basedOn w:val="Normal"/>
    <w:rsid w:val="0049032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gcu.edu/_includes/FGCUCatalog/printprogram.asp?cat=CurrentCat&amp;ID=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e.fgcu.edu/mentalhealthma/index.asp" TargetMode="External"/><Relationship Id="rId11" Type="http://schemas.openxmlformats.org/officeDocument/2006/relationships/hyperlink" Target="http://www.fgcu.edu/_includes/FGCUCatalog/printprogram.asp?cat=CurrentCat&amp;ID=114" TargetMode="External"/><Relationship Id="rId5" Type="http://schemas.openxmlformats.org/officeDocument/2006/relationships/hyperlink" Target="http://www.fgcu.edu/Catalog/printcatalog.asp" TargetMode="External"/><Relationship Id="rId10" Type="http://schemas.openxmlformats.org/officeDocument/2006/relationships/hyperlink" Target="http://coe.fgcu.edu/schoolcounselingmed/index.as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8415</Characters>
  <Application>Microsoft Office Word</Application>
  <DocSecurity>0</DocSecurity>
  <Lines>70</Lines>
  <Paragraphs>19</Paragraphs>
  <ScaleCrop>false</ScaleCrop>
  <Company>Hewlett-Packard</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 Isaacs</cp:lastModifiedBy>
  <cp:revision>1</cp:revision>
  <dcterms:created xsi:type="dcterms:W3CDTF">2012-08-15T13:50:00Z</dcterms:created>
  <dcterms:modified xsi:type="dcterms:W3CDTF">2012-08-15T13:50:00Z</dcterms:modified>
</cp:coreProperties>
</file>