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ABF" w:rsidRPr="005D1ABF" w:rsidRDefault="005D1ABF" w:rsidP="005D1ABF">
      <w:pPr>
        <w:spacing w:after="24"/>
        <w:ind w:left="240"/>
        <w:outlineLvl w:val="0"/>
        <w:rPr>
          <w:rFonts w:ascii="Arial" w:hAnsi="Arial" w:cs="Arial"/>
          <w:b/>
          <w:bCs/>
          <w:color w:val="000000"/>
          <w:kern w:val="36"/>
          <w:sz w:val="32"/>
          <w:szCs w:val="32"/>
          <w:shd w:val="clear" w:color="auto" w:fill="FFFFFF"/>
        </w:rPr>
      </w:pPr>
      <w:r w:rsidRPr="005D1ABF">
        <w:rPr>
          <w:rFonts w:ascii="Arial" w:hAnsi="Arial" w:cs="Arial"/>
          <w:b/>
          <w:bCs/>
          <w:color w:val="000000"/>
          <w:kern w:val="36"/>
          <w:sz w:val="32"/>
          <w:szCs w:val="32"/>
          <w:shd w:val="clear" w:color="auto" w:fill="FFFFFF"/>
        </w:rPr>
        <w:t>RED 5147L Literacy Log - Rubric</w:t>
      </w:r>
    </w:p>
    <w:p w:rsidR="005D1ABF" w:rsidRPr="005D1ABF" w:rsidRDefault="005D1ABF" w:rsidP="005D1ABF">
      <w:pPr>
        <w:jc w:val="right"/>
        <w:rPr>
          <w:rFonts w:ascii="Verdana" w:hAnsi="Verdana" w:cs="Arial"/>
          <w:color w:val="6E96AB"/>
          <w:sz w:val="26"/>
          <w:szCs w:val="26"/>
          <w:shd w:val="clear" w:color="auto" w:fill="FFFFFF"/>
        </w:rPr>
      </w:pPr>
      <w:proofErr w:type="gramStart"/>
      <w:r w:rsidRPr="005D1ABF">
        <w:rPr>
          <w:rFonts w:ascii="Verdana" w:hAnsi="Verdana" w:cs="Arial"/>
          <w:color w:val="6E96AB"/>
          <w:sz w:val="26"/>
          <w:szCs w:val="26"/>
          <w:shd w:val="clear" w:color="auto" w:fill="FFFFFF"/>
        </w:rPr>
        <w:t>by</w:t>
      </w:r>
      <w:proofErr w:type="gramEnd"/>
      <w:r w:rsidRPr="005D1ABF">
        <w:rPr>
          <w:rFonts w:ascii="Verdana" w:hAnsi="Verdana" w:cs="Arial"/>
          <w:color w:val="6E96AB"/>
          <w:sz w:val="26"/>
          <w:szCs w:val="26"/>
          <w:shd w:val="clear" w:color="auto" w:fill="FFFFFF"/>
        </w:rPr>
        <w:t xml:space="preserve"> Florida Gulf Coast University</w:t>
      </w:r>
    </w:p>
    <w:p w:rsidR="005D1ABF" w:rsidRPr="005D1ABF" w:rsidRDefault="005D1ABF" w:rsidP="005D1ABF">
      <w:pPr>
        <w:pBdr>
          <w:bottom w:val="single" w:sz="12" w:space="1" w:color="808080"/>
        </w:pBdr>
        <w:shd w:val="clear" w:color="auto" w:fill="EEEEEE"/>
        <w:spacing w:after="120"/>
        <w:outlineLvl w:val="1"/>
        <w:rPr>
          <w:rFonts w:ascii="Arial" w:hAnsi="Arial" w:cs="Arial"/>
          <w:b/>
          <w:bCs/>
          <w:color w:val="000000"/>
          <w:shd w:val="clear" w:color="auto" w:fill="FFFFFF"/>
        </w:rPr>
      </w:pPr>
      <w:bookmarkStart w:id="0" w:name="6408638_30665828"/>
      <w:bookmarkEnd w:id="0"/>
      <w:r w:rsidRPr="005D1ABF">
        <w:rPr>
          <w:rFonts w:ascii="Arial" w:hAnsi="Arial" w:cs="Arial"/>
          <w:b/>
          <w:bCs/>
          <w:color w:val="000000"/>
          <w:shd w:val="clear" w:color="auto" w:fill="FFFFFF"/>
        </w:rPr>
        <w:t>Assessment</w:t>
      </w:r>
    </w:p>
    <w:p w:rsidR="005D1ABF" w:rsidRPr="005D1ABF" w:rsidRDefault="005D1ABF" w:rsidP="005D1ABF">
      <w:pPr>
        <w:pBdr>
          <w:bottom w:val="single" w:sz="6" w:space="1" w:color="CCCCCC"/>
        </w:pBdr>
        <w:spacing w:after="24"/>
        <w:outlineLvl w:val="2"/>
        <w:rPr>
          <w:rFonts w:ascii="Arial" w:hAnsi="Arial" w:cs="Arial"/>
          <w:b/>
          <w:bCs/>
          <w:color w:val="000000"/>
          <w:sz w:val="21"/>
          <w:szCs w:val="21"/>
          <w:shd w:val="clear" w:color="auto" w:fill="FFFFFF"/>
        </w:rPr>
      </w:pPr>
      <w:bookmarkStart w:id="1" w:name="6408638_30665828_90329775"/>
      <w:bookmarkStart w:id="2" w:name="6408638_30665828_1"/>
      <w:bookmarkEnd w:id="1"/>
      <w:bookmarkEnd w:id="2"/>
      <w:r w:rsidRPr="005D1ABF">
        <w:rPr>
          <w:rFonts w:ascii="Arial" w:hAnsi="Arial" w:cs="Arial"/>
          <w:b/>
          <w:bCs/>
          <w:color w:val="000000"/>
          <w:sz w:val="21"/>
          <w:szCs w:val="21"/>
          <w:shd w:val="clear" w:color="auto" w:fill="FFFFFF"/>
        </w:rPr>
        <w:t>Task Description</w:t>
      </w:r>
    </w:p>
    <w:p w:rsidR="005D1ABF" w:rsidRPr="005D1ABF" w:rsidRDefault="005D1ABF" w:rsidP="005D1ABF">
      <w:pPr>
        <w:spacing w:before="100" w:beforeAutospacing="1" w:after="100" w:afterAutospacing="1"/>
        <w:rPr>
          <w:rFonts w:ascii="Verdana" w:hAnsi="Verdana" w:cs="Arial"/>
          <w:color w:val="000000"/>
          <w:shd w:val="clear" w:color="auto" w:fill="FFFFFF"/>
        </w:rPr>
      </w:pPr>
      <w:r w:rsidRPr="005D1ABF">
        <w:rPr>
          <w:rFonts w:ascii="Verdana" w:hAnsi="Verdana" w:cs="Arial"/>
          <w:color w:val="000000"/>
          <w:shd w:val="clear" w:color="auto" w:fill="FFFFFF"/>
        </w:rPr>
        <w:t>The candidate creates a weekly log of journal entries describing one new reading strategy per week from the course or the web links provided.  Each strategy described promotes critical thinking and includes ways to adapt it to diverse learners as well as ways to assess the effectiveness of it.  The log serves as a resource for using and assessing effective literacy strategies in the classroom. </w:t>
      </w:r>
    </w:p>
    <w:p w:rsidR="005D1ABF" w:rsidRPr="005D1ABF" w:rsidRDefault="005D1ABF" w:rsidP="005D1ABF">
      <w:pPr>
        <w:pBdr>
          <w:bottom w:val="single" w:sz="6" w:space="1" w:color="CCCCCC"/>
        </w:pBdr>
        <w:outlineLvl w:val="2"/>
        <w:rPr>
          <w:rFonts w:ascii="Arial" w:hAnsi="Arial" w:cs="Arial"/>
          <w:b/>
          <w:bCs/>
          <w:color w:val="000000"/>
          <w:sz w:val="21"/>
          <w:szCs w:val="21"/>
          <w:shd w:val="clear" w:color="auto" w:fill="FFFFFF"/>
        </w:rPr>
      </w:pPr>
      <w:bookmarkStart w:id="3" w:name="6408638_30665828_90329776"/>
      <w:bookmarkStart w:id="4" w:name="6408638_30665828_2"/>
      <w:bookmarkEnd w:id="3"/>
      <w:bookmarkEnd w:id="4"/>
      <w:r w:rsidRPr="005D1ABF">
        <w:rPr>
          <w:rFonts w:ascii="Arial" w:hAnsi="Arial" w:cs="Arial"/>
          <w:b/>
          <w:bCs/>
          <w:color w:val="000000"/>
          <w:sz w:val="21"/>
          <w:szCs w:val="21"/>
          <w:shd w:val="clear" w:color="auto" w:fill="FFFFFF"/>
        </w:rPr>
        <w:t>RED 5147L Literacy Log - Rubric</w:t>
      </w:r>
    </w:p>
    <w:tbl>
      <w:tblPr>
        <w:tblW w:w="9720" w:type="dxa"/>
        <w:tblCellMar>
          <w:top w:w="45" w:type="dxa"/>
          <w:left w:w="45" w:type="dxa"/>
          <w:bottom w:w="45" w:type="dxa"/>
          <w:right w:w="45" w:type="dxa"/>
        </w:tblCellMar>
        <w:tblLook w:val="04A0" w:firstRow="1" w:lastRow="0" w:firstColumn="1" w:lastColumn="0" w:noHBand="0" w:noVBand="1"/>
      </w:tblPr>
      <w:tblGrid>
        <w:gridCol w:w="3434"/>
        <w:gridCol w:w="1463"/>
        <w:gridCol w:w="1845"/>
        <w:gridCol w:w="1993"/>
        <w:gridCol w:w="985"/>
      </w:tblGrid>
      <w:tr w:rsidR="005D1ABF" w:rsidRPr="005D1ABF" w:rsidTr="005D1ABF">
        <w:tc>
          <w:tcPr>
            <w:tcW w:w="1680" w:type="dxa"/>
            <w:tcBorders>
              <w:top w:val="single" w:sz="2" w:space="0" w:color="AAAAAA"/>
              <w:left w:val="single" w:sz="2" w:space="0" w:color="AAAAAA"/>
              <w:bottom w:val="single" w:sz="2" w:space="0" w:color="AAAAAA"/>
              <w:right w:val="single" w:sz="2" w:space="0" w:color="AAAAAA"/>
            </w:tcBorders>
            <w:hideMark/>
          </w:tcPr>
          <w:p w:rsidR="005D1ABF" w:rsidRPr="005D1ABF" w:rsidRDefault="005D1ABF" w:rsidP="005D1ABF">
            <w:pPr>
              <w:spacing w:before="75" w:after="75"/>
              <w:ind w:left="75" w:right="75"/>
              <w:jc w:val="center"/>
              <w:rPr>
                <w:rFonts w:ascii="Arial" w:hAnsi="Arial" w:cs="Arial"/>
                <w:sz w:val="20"/>
                <w:szCs w:val="20"/>
              </w:rPr>
            </w:pP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Target </w:t>
            </w:r>
            <w:r w:rsidRPr="005D1ABF">
              <w:rPr>
                <w:rFonts w:ascii="Arial" w:hAnsi="Arial" w:cs="Arial"/>
                <w:sz w:val="17"/>
                <w:szCs w:val="17"/>
              </w:rPr>
              <w:t>(3 pts)</w:t>
            </w: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Acceptable </w:t>
            </w:r>
            <w:r w:rsidRPr="005D1ABF">
              <w:rPr>
                <w:rFonts w:ascii="Arial" w:hAnsi="Arial" w:cs="Arial"/>
                <w:sz w:val="17"/>
                <w:szCs w:val="17"/>
              </w:rPr>
              <w:t>(2 pts)</w:t>
            </w: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Unacceptable </w:t>
            </w:r>
            <w:r w:rsidRPr="005D1ABF">
              <w:rPr>
                <w:rFonts w:ascii="Arial" w:hAnsi="Arial" w:cs="Arial"/>
                <w:sz w:val="17"/>
                <w:szCs w:val="17"/>
              </w:rPr>
              <w:t>(1 pt)</w:t>
            </w: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Missing</w:t>
            </w:r>
          </w:p>
        </w:tc>
      </w:tr>
      <w:tr w:rsidR="005D1ABF" w:rsidRPr="005D1ABF" w:rsidTr="005D1ABF">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Assessment</w:t>
            </w:r>
            <w:r w:rsidRPr="005D1ABF">
              <w:rPr>
                <w:rFonts w:ascii="Arial" w:hAnsi="Arial" w:cs="Arial"/>
                <w:sz w:val="17"/>
                <w:szCs w:val="17"/>
              </w:rPr>
              <w:t>FEAP.1 FL-FTCOMP.00.1</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Provides a complete Literacy Log describing at least 13 different reading strategies, including ways to assess their effectiveness.</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 </w:t>
            </w:r>
          </w:p>
        </w:tc>
      </w:tr>
      <w:tr w:rsidR="005D1ABF" w:rsidRPr="005D1ABF" w:rsidTr="005D1ABF">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Critical Thinking</w:t>
            </w:r>
            <w:r w:rsidRPr="005D1ABF">
              <w:rPr>
                <w:rFonts w:ascii="Arial" w:hAnsi="Arial" w:cs="Arial"/>
                <w:sz w:val="17"/>
                <w:szCs w:val="17"/>
              </w:rPr>
              <w:t>FEAP.4 FL-FTCOMP.00.4</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Literacy Log includes 13 different reading strategies that tap into lower order thinking and higher order thinking skills.</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 </w:t>
            </w:r>
          </w:p>
        </w:tc>
      </w:tr>
      <w:tr w:rsidR="005D1ABF" w:rsidRPr="005D1ABF" w:rsidTr="005D1ABF">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5D1ABF" w:rsidRPr="005D1ABF" w:rsidRDefault="005D1ABF" w:rsidP="005D1ABF">
            <w:pPr>
              <w:spacing w:before="75" w:after="75"/>
              <w:ind w:left="75" w:right="75"/>
              <w:rPr>
                <w:rFonts w:ascii="Arial" w:hAnsi="Arial" w:cs="Arial"/>
                <w:b/>
                <w:bCs/>
                <w:sz w:val="20"/>
                <w:szCs w:val="20"/>
              </w:rPr>
            </w:pPr>
            <w:r w:rsidRPr="005D1ABF">
              <w:rPr>
                <w:rFonts w:ascii="Arial" w:hAnsi="Arial" w:cs="Arial"/>
                <w:b/>
                <w:bCs/>
                <w:sz w:val="20"/>
                <w:szCs w:val="20"/>
              </w:rPr>
              <w:t>Diversity</w:t>
            </w:r>
            <w:r w:rsidRPr="005D1ABF">
              <w:rPr>
                <w:rFonts w:ascii="Arial" w:hAnsi="Arial" w:cs="Arial"/>
                <w:sz w:val="17"/>
                <w:szCs w:val="17"/>
              </w:rPr>
              <w:t>FEAP.5 FL-FTCOMP.00.5</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 xml:space="preserve">Literacy Log includes 13 different reading strategies and several ways to adapt each of them to diverse </w:t>
            </w:r>
            <w:r w:rsidRPr="005D1ABF">
              <w:rPr>
                <w:rFonts w:ascii="Arial" w:hAnsi="Arial" w:cs="Arial"/>
                <w:sz w:val="20"/>
                <w:szCs w:val="20"/>
              </w:rPr>
              <w:lastRenderedPageBreak/>
              <w:t>learners.</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lastRenderedPageBreak/>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5D1ABF" w:rsidRPr="005D1ABF" w:rsidRDefault="005D1ABF" w:rsidP="005D1ABF">
            <w:pPr>
              <w:spacing w:before="75" w:after="75"/>
              <w:ind w:left="75" w:right="75"/>
              <w:rPr>
                <w:rFonts w:ascii="Arial" w:hAnsi="Arial" w:cs="Arial"/>
                <w:sz w:val="20"/>
                <w:szCs w:val="20"/>
              </w:rPr>
            </w:pPr>
            <w:r w:rsidRPr="005D1ABF">
              <w:rPr>
                <w:rFonts w:ascii="Arial" w:hAnsi="Arial" w:cs="Arial"/>
                <w:sz w:val="20"/>
                <w:szCs w:val="20"/>
              </w:rPr>
              <w:t> </w:t>
            </w:r>
          </w:p>
        </w:tc>
      </w:tr>
    </w:tbl>
    <w:p w:rsidR="005D1ABF" w:rsidRPr="005D1ABF" w:rsidRDefault="005D1ABF" w:rsidP="005D1ABF">
      <w:pPr>
        <w:pBdr>
          <w:bottom w:val="single" w:sz="6" w:space="1" w:color="CCCCCC"/>
        </w:pBdr>
        <w:outlineLvl w:val="2"/>
        <w:rPr>
          <w:rFonts w:ascii="Arial" w:hAnsi="Arial" w:cs="Arial"/>
          <w:b/>
          <w:bCs/>
          <w:color w:val="000000"/>
          <w:sz w:val="21"/>
          <w:szCs w:val="21"/>
          <w:shd w:val="clear" w:color="auto" w:fill="FFFFFF"/>
        </w:rPr>
      </w:pPr>
      <w:bookmarkStart w:id="5" w:name="6408638_30665828_90329777"/>
      <w:bookmarkStart w:id="6" w:name="6408638_30665828_3"/>
      <w:bookmarkEnd w:id="5"/>
      <w:bookmarkEnd w:id="6"/>
      <w:r w:rsidRPr="005D1ABF">
        <w:rPr>
          <w:rFonts w:ascii="Arial" w:hAnsi="Arial" w:cs="Arial"/>
          <w:b/>
          <w:bCs/>
          <w:color w:val="000000"/>
          <w:sz w:val="21"/>
          <w:szCs w:val="21"/>
          <w:shd w:val="clear" w:color="auto" w:fill="FFFFFF"/>
        </w:rPr>
        <w:lastRenderedPageBreak/>
        <w:t>Standards</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130"/>
        <w:gridCol w:w="6660"/>
      </w:tblGrid>
      <w:tr w:rsidR="005D1ABF" w:rsidRPr="005D1ABF" w:rsidTr="005D1ABF">
        <w:trPr>
          <w:tblCellSpacing w:w="0" w:type="dxa"/>
        </w:trPr>
        <w:tc>
          <w:tcPr>
            <w:tcW w:w="0" w:type="auto"/>
            <w:shd w:val="clear" w:color="auto" w:fill="FFFFFF"/>
            <w:hideMark/>
          </w:tcPr>
          <w:p w:rsidR="005D1ABF" w:rsidRPr="005D1ABF" w:rsidRDefault="005D1ABF" w:rsidP="005D1ABF">
            <w:pPr>
              <w:rPr>
                <w:rFonts w:ascii="Verdana" w:hAnsi="Verdana"/>
                <w:b/>
                <w:bCs/>
              </w:rPr>
            </w:pPr>
            <w:r w:rsidRPr="005D1ABF">
              <w:rPr>
                <w:rFonts w:ascii="Verdana" w:hAnsi="Verdana"/>
                <w:b/>
                <w:bCs/>
              </w:rPr>
              <w:t>FEAP.1 </w:t>
            </w:r>
          </w:p>
        </w:tc>
        <w:tc>
          <w:tcPr>
            <w:tcW w:w="0" w:type="auto"/>
            <w:shd w:val="clear" w:color="auto" w:fill="FFFFFF"/>
            <w:vAlign w:val="center"/>
            <w:hideMark/>
          </w:tcPr>
          <w:p w:rsidR="005D1ABF" w:rsidRPr="005D1ABF" w:rsidRDefault="005D1ABF" w:rsidP="005D1ABF">
            <w:pPr>
              <w:rPr>
                <w:rFonts w:ascii="Verdana" w:hAnsi="Verdana"/>
              </w:rPr>
            </w:pPr>
            <w:r w:rsidRPr="005D1ABF">
              <w:rPr>
                <w:rFonts w:ascii="Verdana" w:hAnsi="Verdana"/>
              </w:rPr>
              <w:t>ACCOMPLISHED PRACTICE #1: Assessment</w:t>
            </w:r>
          </w:p>
        </w:tc>
      </w:tr>
      <w:tr w:rsidR="005D1ABF" w:rsidRPr="005D1ABF" w:rsidTr="005D1ABF">
        <w:trPr>
          <w:tblCellSpacing w:w="0" w:type="dxa"/>
        </w:trPr>
        <w:tc>
          <w:tcPr>
            <w:tcW w:w="0" w:type="auto"/>
            <w:shd w:val="clear" w:color="auto" w:fill="EEEEEE"/>
            <w:hideMark/>
          </w:tcPr>
          <w:p w:rsidR="005D1ABF" w:rsidRPr="005D1ABF" w:rsidRDefault="005D1ABF" w:rsidP="005D1ABF">
            <w:pPr>
              <w:rPr>
                <w:rFonts w:ascii="Verdana" w:hAnsi="Verdana"/>
                <w:b/>
                <w:bCs/>
              </w:rPr>
            </w:pPr>
            <w:r w:rsidRPr="005D1ABF">
              <w:rPr>
                <w:rFonts w:ascii="Verdana" w:hAnsi="Verdana"/>
                <w:b/>
                <w:bCs/>
              </w:rPr>
              <w:t>FEAP.4 </w:t>
            </w:r>
          </w:p>
        </w:tc>
        <w:tc>
          <w:tcPr>
            <w:tcW w:w="0" w:type="auto"/>
            <w:shd w:val="clear" w:color="auto" w:fill="EEEEEE"/>
            <w:vAlign w:val="center"/>
            <w:hideMark/>
          </w:tcPr>
          <w:p w:rsidR="005D1ABF" w:rsidRPr="005D1ABF" w:rsidRDefault="005D1ABF" w:rsidP="005D1ABF">
            <w:pPr>
              <w:rPr>
                <w:rFonts w:ascii="Verdana" w:hAnsi="Verdana"/>
              </w:rPr>
            </w:pPr>
            <w:r w:rsidRPr="005D1ABF">
              <w:rPr>
                <w:rFonts w:ascii="Verdana" w:hAnsi="Verdana"/>
              </w:rPr>
              <w:t>ACCOMPLISHED PRACTICE #4: Critical-thinking</w:t>
            </w:r>
          </w:p>
        </w:tc>
      </w:tr>
      <w:tr w:rsidR="005D1ABF" w:rsidRPr="005D1ABF" w:rsidTr="005D1ABF">
        <w:trPr>
          <w:tblCellSpacing w:w="0" w:type="dxa"/>
        </w:trPr>
        <w:tc>
          <w:tcPr>
            <w:tcW w:w="0" w:type="auto"/>
            <w:shd w:val="clear" w:color="auto" w:fill="FFFFFF"/>
            <w:hideMark/>
          </w:tcPr>
          <w:p w:rsidR="005D1ABF" w:rsidRPr="005D1ABF" w:rsidRDefault="005D1ABF" w:rsidP="005D1ABF">
            <w:pPr>
              <w:rPr>
                <w:rFonts w:ascii="Verdana" w:hAnsi="Verdana"/>
                <w:b/>
                <w:bCs/>
              </w:rPr>
            </w:pPr>
            <w:r w:rsidRPr="005D1ABF">
              <w:rPr>
                <w:rFonts w:ascii="Verdana" w:hAnsi="Verdana"/>
                <w:b/>
                <w:bCs/>
              </w:rPr>
              <w:t>FEAP.5 </w:t>
            </w:r>
          </w:p>
        </w:tc>
        <w:tc>
          <w:tcPr>
            <w:tcW w:w="0" w:type="auto"/>
            <w:shd w:val="clear" w:color="auto" w:fill="FFFFFF"/>
            <w:vAlign w:val="center"/>
            <w:hideMark/>
          </w:tcPr>
          <w:p w:rsidR="005D1ABF" w:rsidRPr="005D1ABF" w:rsidRDefault="005D1ABF" w:rsidP="005D1ABF">
            <w:pPr>
              <w:rPr>
                <w:rFonts w:ascii="Verdana" w:hAnsi="Verdana"/>
              </w:rPr>
            </w:pPr>
            <w:r w:rsidRPr="005D1ABF">
              <w:rPr>
                <w:rFonts w:ascii="Verdana" w:hAnsi="Verdana"/>
              </w:rPr>
              <w:t>ACCOMPLISHED PRACTICE #5: Diversity</w:t>
            </w:r>
          </w:p>
        </w:tc>
      </w:tr>
      <w:tr w:rsidR="005D1ABF" w:rsidRPr="005D1ABF" w:rsidTr="005D1ABF">
        <w:trPr>
          <w:tblCellSpacing w:w="0" w:type="dxa"/>
        </w:trPr>
        <w:tc>
          <w:tcPr>
            <w:tcW w:w="0" w:type="auto"/>
            <w:shd w:val="clear" w:color="auto" w:fill="EEEEEE"/>
            <w:hideMark/>
          </w:tcPr>
          <w:p w:rsidR="005D1ABF" w:rsidRPr="005D1ABF" w:rsidRDefault="005D1ABF" w:rsidP="005D1ABF">
            <w:pPr>
              <w:rPr>
                <w:rFonts w:ascii="Verdana" w:hAnsi="Verdana"/>
                <w:b/>
                <w:bCs/>
              </w:rPr>
            </w:pPr>
            <w:r w:rsidRPr="005D1ABF">
              <w:rPr>
                <w:rFonts w:ascii="Verdana" w:hAnsi="Verdana"/>
                <w:b/>
                <w:bCs/>
              </w:rPr>
              <w:t>FL-FTCOMP.00.1 </w:t>
            </w:r>
          </w:p>
        </w:tc>
        <w:tc>
          <w:tcPr>
            <w:tcW w:w="0" w:type="auto"/>
            <w:shd w:val="clear" w:color="auto" w:fill="EEEEEE"/>
            <w:vAlign w:val="center"/>
            <w:hideMark/>
          </w:tcPr>
          <w:p w:rsidR="005D1ABF" w:rsidRPr="005D1ABF" w:rsidRDefault="005D1ABF" w:rsidP="005D1ABF">
            <w:pPr>
              <w:rPr>
                <w:rFonts w:ascii="Verdana" w:hAnsi="Verdana"/>
              </w:rPr>
            </w:pPr>
            <w:r w:rsidRPr="005D1ABF">
              <w:rPr>
                <w:rFonts w:ascii="Verdana" w:hAnsi="Verdana"/>
              </w:rPr>
              <w:t>STANDARD: Knowledge of various types of assessment strategies that can be used to determine student levels and needs (Assessment)</w:t>
            </w:r>
          </w:p>
        </w:tc>
      </w:tr>
      <w:tr w:rsidR="005D1ABF" w:rsidRPr="005D1ABF" w:rsidTr="005D1ABF">
        <w:trPr>
          <w:tblCellSpacing w:w="0" w:type="dxa"/>
        </w:trPr>
        <w:tc>
          <w:tcPr>
            <w:tcW w:w="0" w:type="auto"/>
            <w:shd w:val="clear" w:color="auto" w:fill="FFFFFF"/>
            <w:hideMark/>
          </w:tcPr>
          <w:p w:rsidR="005D1ABF" w:rsidRPr="005D1ABF" w:rsidRDefault="005D1ABF" w:rsidP="005D1ABF">
            <w:pPr>
              <w:rPr>
                <w:rFonts w:ascii="Verdana" w:hAnsi="Verdana"/>
                <w:b/>
                <w:bCs/>
              </w:rPr>
            </w:pPr>
            <w:r w:rsidRPr="005D1ABF">
              <w:rPr>
                <w:rFonts w:ascii="Verdana" w:hAnsi="Verdana"/>
                <w:b/>
                <w:bCs/>
              </w:rPr>
              <w:t>FL-FTCOMP.00.4 </w:t>
            </w:r>
          </w:p>
        </w:tc>
        <w:tc>
          <w:tcPr>
            <w:tcW w:w="0" w:type="auto"/>
            <w:shd w:val="clear" w:color="auto" w:fill="FFFFFF"/>
            <w:vAlign w:val="center"/>
            <w:hideMark/>
          </w:tcPr>
          <w:p w:rsidR="005D1ABF" w:rsidRPr="005D1ABF" w:rsidRDefault="005D1ABF" w:rsidP="005D1ABF">
            <w:pPr>
              <w:rPr>
                <w:rFonts w:ascii="Verdana" w:hAnsi="Verdana"/>
              </w:rPr>
            </w:pPr>
            <w:r w:rsidRPr="005D1ABF">
              <w:rPr>
                <w:rFonts w:ascii="Verdana" w:hAnsi="Verdana"/>
              </w:rPr>
              <w:t>STANDARD: Knowledge of strategies, materials, and technologies that will promote and enhance critical and creative thinking skills (Critical Thinking)</w:t>
            </w:r>
          </w:p>
        </w:tc>
      </w:tr>
      <w:tr w:rsidR="005D1ABF" w:rsidRPr="005D1ABF" w:rsidTr="005D1ABF">
        <w:trPr>
          <w:tblCellSpacing w:w="0" w:type="dxa"/>
        </w:trPr>
        <w:tc>
          <w:tcPr>
            <w:tcW w:w="0" w:type="auto"/>
            <w:shd w:val="clear" w:color="auto" w:fill="EEEEEE"/>
            <w:hideMark/>
          </w:tcPr>
          <w:p w:rsidR="005D1ABF" w:rsidRPr="005D1ABF" w:rsidRDefault="005D1ABF" w:rsidP="005D1ABF">
            <w:pPr>
              <w:rPr>
                <w:rFonts w:ascii="Verdana" w:hAnsi="Verdana"/>
                <w:b/>
                <w:bCs/>
              </w:rPr>
            </w:pPr>
            <w:r w:rsidRPr="005D1ABF">
              <w:rPr>
                <w:rFonts w:ascii="Verdana" w:hAnsi="Verdana"/>
                <w:b/>
                <w:bCs/>
              </w:rPr>
              <w:t>FL-FTCOMP.00.5 </w:t>
            </w:r>
          </w:p>
        </w:tc>
        <w:tc>
          <w:tcPr>
            <w:tcW w:w="0" w:type="auto"/>
            <w:shd w:val="clear" w:color="auto" w:fill="EEEEEE"/>
            <w:vAlign w:val="center"/>
            <w:hideMark/>
          </w:tcPr>
          <w:p w:rsidR="005D1ABF" w:rsidRPr="005D1ABF" w:rsidRDefault="005D1ABF" w:rsidP="005D1ABF">
            <w:pPr>
              <w:rPr>
                <w:rFonts w:ascii="Verdana" w:hAnsi="Verdana"/>
              </w:rPr>
            </w:pPr>
            <w:r w:rsidRPr="005D1ABF">
              <w:rPr>
                <w:rFonts w:ascii="Verdana" w:hAnsi="Verdana"/>
              </w:rPr>
              <w:t>STANDARD: Knowledge of cultural, linguistic, and learning style differences and how these differences affect classroom practice and student learning (Diversity)</w:t>
            </w:r>
          </w:p>
        </w:tc>
      </w:tr>
    </w:tbl>
    <w:p w:rsidR="005D1ABF" w:rsidRPr="005D1ABF" w:rsidRDefault="005D1ABF" w:rsidP="005D1ABF">
      <w:pPr>
        <w:jc w:val="center"/>
        <w:rPr>
          <w:rFonts w:ascii="Arial" w:hAnsi="Arial" w:cs="Arial"/>
          <w:color w:val="000000"/>
          <w:sz w:val="26"/>
          <w:szCs w:val="26"/>
          <w:shd w:val="clear" w:color="auto" w:fill="FFFFFF"/>
        </w:rPr>
      </w:pPr>
      <w:r w:rsidRPr="005D1ABF">
        <w:rPr>
          <w:rFonts w:ascii="Arial" w:hAnsi="Arial" w:cs="Arial"/>
          <w:color w:val="000000"/>
          <w:sz w:val="26"/>
          <w:szCs w:val="26"/>
          <w:shd w:val="clear" w:color="auto" w:fill="FFFFFF"/>
        </w:rPr>
        <w:br/>
      </w:r>
      <w:r>
        <w:rPr>
          <w:rFonts w:ascii="Arial" w:hAnsi="Arial" w:cs="Arial"/>
          <w:noProof/>
          <w:color w:val="000000"/>
          <w:sz w:val="26"/>
          <w:szCs w:val="26"/>
          <w:shd w:val="clear" w:color="auto" w:fill="FFFFFF"/>
        </w:rPr>
        <w:drawing>
          <wp:inline distT="0" distB="0" distL="0" distR="0">
            <wp:extent cx="190500" cy="190500"/>
            <wp:effectExtent l="0" t="0" r="0" b="0"/>
            <wp:docPr id="1" name="Picture 1" descr="https://c1.livetext.com/assets/lt-logo-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livetext.com/assets/lt-logo-2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1ABF">
        <w:rPr>
          <w:rFonts w:ascii="Arial" w:hAnsi="Arial" w:cs="Arial"/>
          <w:color w:val="000000"/>
          <w:sz w:val="26"/>
          <w:szCs w:val="26"/>
          <w:shd w:val="clear" w:color="auto" w:fill="FFFFFF"/>
        </w:rPr>
        <w:t> Created with LiveText - livetext.com</w:t>
      </w:r>
    </w:p>
    <w:p w:rsidR="00FF4E21" w:rsidRDefault="00FF4E21">
      <w:bookmarkStart w:id="7" w:name="_GoBack"/>
      <w:bookmarkEnd w:id="7"/>
    </w:p>
    <w:sectPr w:rsidR="00FF4E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BF"/>
    <w:rsid w:val="005D1ABF"/>
    <w:rsid w:val="00FF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5D1AB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D1AB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D1A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BF"/>
    <w:rPr>
      <w:b/>
      <w:bCs/>
      <w:kern w:val="36"/>
      <w:sz w:val="48"/>
      <w:szCs w:val="48"/>
    </w:rPr>
  </w:style>
  <w:style w:type="character" w:customStyle="1" w:styleId="Heading2Char">
    <w:name w:val="Heading 2 Char"/>
    <w:basedOn w:val="DefaultParagraphFont"/>
    <w:link w:val="Heading2"/>
    <w:uiPriority w:val="9"/>
    <w:rsid w:val="005D1ABF"/>
    <w:rPr>
      <w:b/>
      <w:bCs/>
      <w:sz w:val="36"/>
      <w:szCs w:val="36"/>
    </w:rPr>
  </w:style>
  <w:style w:type="character" w:customStyle="1" w:styleId="Heading3Char">
    <w:name w:val="Heading 3 Char"/>
    <w:basedOn w:val="DefaultParagraphFont"/>
    <w:link w:val="Heading3"/>
    <w:uiPriority w:val="9"/>
    <w:rsid w:val="005D1ABF"/>
    <w:rPr>
      <w:b/>
      <w:bCs/>
      <w:sz w:val="27"/>
      <w:szCs w:val="27"/>
    </w:rPr>
  </w:style>
  <w:style w:type="paragraph" w:styleId="NormalWeb">
    <w:name w:val="Normal (Web)"/>
    <w:basedOn w:val="Normal"/>
    <w:uiPriority w:val="99"/>
    <w:unhideWhenUsed/>
    <w:rsid w:val="005D1ABF"/>
    <w:pPr>
      <w:spacing w:before="100" w:beforeAutospacing="1" w:after="100" w:afterAutospacing="1"/>
    </w:pPr>
  </w:style>
  <w:style w:type="character" w:customStyle="1" w:styleId="apple-converted-space">
    <w:name w:val="apple-converted-space"/>
    <w:basedOn w:val="DefaultParagraphFont"/>
    <w:rsid w:val="005D1ABF"/>
  </w:style>
  <w:style w:type="character" w:customStyle="1" w:styleId="points">
    <w:name w:val="points"/>
    <w:basedOn w:val="DefaultParagraphFont"/>
    <w:rsid w:val="005D1ABF"/>
  </w:style>
  <w:style w:type="character" w:customStyle="1" w:styleId="standards">
    <w:name w:val="standards"/>
    <w:basedOn w:val="DefaultParagraphFont"/>
    <w:rsid w:val="005D1ABF"/>
  </w:style>
  <w:style w:type="paragraph" w:styleId="BalloonText">
    <w:name w:val="Balloon Text"/>
    <w:basedOn w:val="Normal"/>
    <w:link w:val="BalloonTextChar"/>
    <w:rsid w:val="005D1ABF"/>
    <w:rPr>
      <w:rFonts w:ascii="Tahoma" w:hAnsi="Tahoma" w:cs="Tahoma"/>
      <w:sz w:val="16"/>
      <w:szCs w:val="16"/>
    </w:rPr>
  </w:style>
  <w:style w:type="character" w:customStyle="1" w:styleId="BalloonTextChar">
    <w:name w:val="Balloon Text Char"/>
    <w:basedOn w:val="DefaultParagraphFont"/>
    <w:link w:val="BalloonText"/>
    <w:rsid w:val="005D1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5D1AB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D1AB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D1A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BF"/>
    <w:rPr>
      <w:b/>
      <w:bCs/>
      <w:kern w:val="36"/>
      <w:sz w:val="48"/>
      <w:szCs w:val="48"/>
    </w:rPr>
  </w:style>
  <w:style w:type="character" w:customStyle="1" w:styleId="Heading2Char">
    <w:name w:val="Heading 2 Char"/>
    <w:basedOn w:val="DefaultParagraphFont"/>
    <w:link w:val="Heading2"/>
    <w:uiPriority w:val="9"/>
    <w:rsid w:val="005D1ABF"/>
    <w:rPr>
      <w:b/>
      <w:bCs/>
      <w:sz w:val="36"/>
      <w:szCs w:val="36"/>
    </w:rPr>
  </w:style>
  <w:style w:type="character" w:customStyle="1" w:styleId="Heading3Char">
    <w:name w:val="Heading 3 Char"/>
    <w:basedOn w:val="DefaultParagraphFont"/>
    <w:link w:val="Heading3"/>
    <w:uiPriority w:val="9"/>
    <w:rsid w:val="005D1ABF"/>
    <w:rPr>
      <w:b/>
      <w:bCs/>
      <w:sz w:val="27"/>
      <w:szCs w:val="27"/>
    </w:rPr>
  </w:style>
  <w:style w:type="paragraph" w:styleId="NormalWeb">
    <w:name w:val="Normal (Web)"/>
    <w:basedOn w:val="Normal"/>
    <w:uiPriority w:val="99"/>
    <w:unhideWhenUsed/>
    <w:rsid w:val="005D1ABF"/>
    <w:pPr>
      <w:spacing w:before="100" w:beforeAutospacing="1" w:after="100" w:afterAutospacing="1"/>
    </w:pPr>
  </w:style>
  <w:style w:type="character" w:customStyle="1" w:styleId="apple-converted-space">
    <w:name w:val="apple-converted-space"/>
    <w:basedOn w:val="DefaultParagraphFont"/>
    <w:rsid w:val="005D1ABF"/>
  </w:style>
  <w:style w:type="character" w:customStyle="1" w:styleId="points">
    <w:name w:val="points"/>
    <w:basedOn w:val="DefaultParagraphFont"/>
    <w:rsid w:val="005D1ABF"/>
  </w:style>
  <w:style w:type="character" w:customStyle="1" w:styleId="standards">
    <w:name w:val="standards"/>
    <w:basedOn w:val="DefaultParagraphFont"/>
    <w:rsid w:val="005D1ABF"/>
  </w:style>
  <w:style w:type="paragraph" w:styleId="BalloonText">
    <w:name w:val="Balloon Text"/>
    <w:basedOn w:val="Normal"/>
    <w:link w:val="BalloonTextChar"/>
    <w:rsid w:val="005D1ABF"/>
    <w:rPr>
      <w:rFonts w:ascii="Tahoma" w:hAnsi="Tahoma" w:cs="Tahoma"/>
      <w:sz w:val="16"/>
      <w:szCs w:val="16"/>
    </w:rPr>
  </w:style>
  <w:style w:type="character" w:customStyle="1" w:styleId="BalloonTextChar">
    <w:name w:val="Balloon Text Char"/>
    <w:basedOn w:val="DefaultParagraphFont"/>
    <w:link w:val="BalloonText"/>
    <w:rsid w:val="005D1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6163">
      <w:bodyDiv w:val="1"/>
      <w:marLeft w:val="0"/>
      <w:marRight w:val="0"/>
      <w:marTop w:val="0"/>
      <w:marBottom w:val="0"/>
      <w:divBdr>
        <w:top w:val="none" w:sz="0" w:space="0" w:color="auto"/>
        <w:left w:val="none" w:sz="0" w:space="0" w:color="auto"/>
        <w:bottom w:val="none" w:sz="0" w:space="0" w:color="auto"/>
        <w:right w:val="none" w:sz="0" w:space="0" w:color="auto"/>
      </w:divBdr>
      <w:divsChild>
        <w:div w:id="915822709">
          <w:marLeft w:val="0"/>
          <w:marRight w:val="0"/>
          <w:marTop w:val="0"/>
          <w:marBottom w:val="0"/>
          <w:divBdr>
            <w:top w:val="none" w:sz="0" w:space="0" w:color="auto"/>
            <w:left w:val="none" w:sz="0" w:space="0" w:color="auto"/>
            <w:bottom w:val="none" w:sz="0" w:space="0" w:color="auto"/>
            <w:right w:val="none" w:sz="0" w:space="0" w:color="auto"/>
          </w:divBdr>
          <w:divsChild>
            <w:div w:id="319042348">
              <w:marLeft w:val="0"/>
              <w:marRight w:val="0"/>
              <w:marTop w:val="0"/>
              <w:marBottom w:val="0"/>
              <w:divBdr>
                <w:top w:val="none" w:sz="0" w:space="0" w:color="auto"/>
                <w:left w:val="none" w:sz="0" w:space="0" w:color="auto"/>
                <w:bottom w:val="none" w:sz="0" w:space="0" w:color="auto"/>
                <w:right w:val="none" w:sz="0" w:space="0" w:color="auto"/>
              </w:divBdr>
              <w:divsChild>
                <w:div w:id="2106685399">
                  <w:marLeft w:val="0"/>
                  <w:marRight w:val="0"/>
                  <w:marTop w:val="0"/>
                  <w:marBottom w:val="120"/>
                  <w:divBdr>
                    <w:top w:val="none" w:sz="0" w:space="0" w:color="auto"/>
                    <w:left w:val="none" w:sz="0" w:space="0" w:color="auto"/>
                    <w:bottom w:val="none" w:sz="0" w:space="0" w:color="auto"/>
                    <w:right w:val="none" w:sz="0" w:space="0" w:color="auto"/>
                  </w:divBdr>
                  <w:divsChild>
                    <w:div w:id="710690354">
                      <w:marLeft w:val="0"/>
                      <w:marRight w:val="0"/>
                      <w:marTop w:val="0"/>
                      <w:marBottom w:val="0"/>
                      <w:divBdr>
                        <w:top w:val="none" w:sz="0" w:space="0" w:color="auto"/>
                        <w:left w:val="none" w:sz="0" w:space="0" w:color="auto"/>
                        <w:bottom w:val="none" w:sz="0" w:space="0" w:color="auto"/>
                        <w:right w:val="none" w:sz="0" w:space="0" w:color="auto"/>
                      </w:divBdr>
                      <w:divsChild>
                        <w:div w:id="837379066">
                          <w:marLeft w:val="0"/>
                          <w:marRight w:val="0"/>
                          <w:marTop w:val="0"/>
                          <w:marBottom w:val="120"/>
                          <w:divBdr>
                            <w:top w:val="none" w:sz="0" w:space="0" w:color="auto"/>
                            <w:left w:val="none" w:sz="0" w:space="0" w:color="auto"/>
                            <w:bottom w:val="none" w:sz="0" w:space="0" w:color="auto"/>
                            <w:right w:val="none" w:sz="0" w:space="0" w:color="auto"/>
                          </w:divBdr>
                          <w:divsChild>
                            <w:div w:id="76635384">
                              <w:marLeft w:val="0"/>
                              <w:marRight w:val="0"/>
                              <w:marTop w:val="0"/>
                              <w:marBottom w:val="0"/>
                              <w:divBdr>
                                <w:top w:val="none" w:sz="0" w:space="0" w:color="auto"/>
                                <w:left w:val="none" w:sz="0" w:space="0" w:color="auto"/>
                                <w:bottom w:val="none" w:sz="0" w:space="0" w:color="auto"/>
                                <w:right w:val="none" w:sz="0" w:space="0" w:color="auto"/>
                              </w:divBdr>
                              <w:divsChild>
                                <w:div w:id="1399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2580">
                          <w:marLeft w:val="0"/>
                          <w:marRight w:val="0"/>
                          <w:marTop w:val="0"/>
                          <w:marBottom w:val="120"/>
                          <w:divBdr>
                            <w:top w:val="none" w:sz="0" w:space="0" w:color="auto"/>
                            <w:left w:val="none" w:sz="0" w:space="0" w:color="auto"/>
                            <w:bottom w:val="none" w:sz="0" w:space="0" w:color="auto"/>
                            <w:right w:val="none" w:sz="0" w:space="0" w:color="auto"/>
                          </w:divBdr>
                          <w:divsChild>
                            <w:div w:id="1603219173">
                              <w:marLeft w:val="0"/>
                              <w:marRight w:val="0"/>
                              <w:marTop w:val="0"/>
                              <w:marBottom w:val="0"/>
                              <w:divBdr>
                                <w:top w:val="none" w:sz="0" w:space="0" w:color="auto"/>
                                <w:left w:val="none" w:sz="0" w:space="0" w:color="auto"/>
                                <w:bottom w:val="none" w:sz="0" w:space="0" w:color="auto"/>
                                <w:right w:val="none" w:sz="0" w:space="0" w:color="auto"/>
                              </w:divBdr>
                              <w:divsChild>
                                <w:div w:id="18120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3573">
                          <w:marLeft w:val="0"/>
                          <w:marRight w:val="0"/>
                          <w:marTop w:val="0"/>
                          <w:marBottom w:val="120"/>
                          <w:divBdr>
                            <w:top w:val="none" w:sz="0" w:space="0" w:color="auto"/>
                            <w:left w:val="none" w:sz="0" w:space="0" w:color="auto"/>
                            <w:bottom w:val="none" w:sz="0" w:space="0" w:color="auto"/>
                            <w:right w:val="none" w:sz="0" w:space="0" w:color="auto"/>
                          </w:divBdr>
                          <w:divsChild>
                            <w:div w:id="10177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Company>Florida Gulf Coast University</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someuser</dc:creator>
  <cp:keywords/>
  <dc:description/>
  <cp:lastModifiedBy>someuser</cp:lastModifiedBy>
  <cp:revision>1</cp:revision>
  <dcterms:created xsi:type="dcterms:W3CDTF">2011-09-27T17:17:00Z</dcterms:created>
  <dcterms:modified xsi:type="dcterms:W3CDTF">2011-09-27T17:18:00Z</dcterms:modified>
</cp:coreProperties>
</file>